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comments.xml" ContentType="application/vnd.openxmlformats-officedocument.wordprocessingml.comments+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diagrams/drawing3.xml" ContentType="application/vnd.ms-office.drawingml.diagramDrawing+xml"/>
  <Override PartName="/word/diagrams/data3.xml" ContentType="application/vnd.openxmlformats-officedocument.drawingml.diagramData+xml"/>
  <Override PartName="/word/diagrams/colors3.xml" ContentType="application/vnd.openxmlformats-officedocument.drawingml.diagramColors+xml"/>
  <Override PartName="/word/diagrams/layout3.xml" ContentType="application/vnd.openxmlformats-officedocument.drawingml.diagramLayout+xml"/>
  <Override PartName="/word/diagrams/quickStyle3.xml" ContentType="application/vnd.openxmlformats-officedocument.drawingml.diagramStyle+xml"/>
  <Override PartName="/word/header3.xml" ContentType="application/vnd.openxmlformats-officedocument.wordprocessingml.header+xml"/>
  <Override PartName="/word/footer2.xml" ContentType="application/vnd.openxmlformats-officedocument.wordprocessingml.footer+xml"/>
  <Override PartName="/word/commentsExtended.xml" ContentType="application/vnd.openxmlformats-officedocument.wordprocessingml.commentsExtended+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192" w:before="80" w:after="0"/>
        <w:ind w:start="2160"/>
        <w:rPr>
          <w:b/>
          <w:bCs/>
          <w:color w:themeColor="text2" w:themeTint="bf" w:val="215E99"/>
          <w:sz w:val="40"/>
          <w:szCs w:val="40"/>
        </w:rPr>
      </w:pPr>
      <w:r>
        <w:rPr>
          <w:b/>
          <w:bCs/>
          <w:color w:themeColor="text2" w:themeTint="bf" w:val="215E99"/>
          <w:sz w:val="40"/>
          <w:szCs w:val="40"/>
        </w:rPr>
        <w:t>D2.1: Mobile application including digital campaigns for AQ and UM issues, awareness alerts, route guidance and assessment of potential UM measures in at least TRL 7</w:t>
      </w:r>
    </w:p>
    <w:p>
      <w:pPr>
        <w:pStyle w:val="Normal"/>
        <w:pBdr>
          <w:bottom w:val="single" w:sz="6" w:space="17" w:color="2E75B6"/>
        </w:pBdr>
        <w:tabs>
          <w:tab w:val="clear" w:pos="720"/>
          <w:tab w:val="left" w:pos="2385" w:leader="none"/>
        </w:tabs>
        <w:spacing w:lineRule="auto" w:line="240" w:before="120" w:after="800"/>
        <w:rPr>
          <w:rFonts w:eastAsia="Arial"/>
          <w:kern w:val="0"/>
          <w14:ligatures w14:val="none"/>
        </w:rPr>
      </w:pPr>
      <w:r>
        <w:drawing>
          <wp:anchor distT="0" distB="0" distL="0" distR="0" simplePos="0" relativeHeight="56" behindDoc="1" locked="0" layoutInCell="0" allowOverlap="1">
            <wp:simplePos x="0" y="0"/>
            <wp:positionH relativeFrom="margin">
              <wp:posOffset>2886075</wp:posOffset>
            </wp:positionH>
            <wp:positionV relativeFrom="paragraph">
              <wp:posOffset>503555</wp:posOffset>
            </wp:positionV>
            <wp:extent cx="2118360" cy="2118360"/>
            <wp:effectExtent l="0" t="0" r="0"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2"/>
                    <a:stretch>
                      <a:fillRect/>
                    </a:stretch>
                  </pic:blipFill>
                  <pic:spPr bwMode="auto">
                    <a:xfrm>
                      <a:off x="0" y="0"/>
                      <a:ext cx="2118360" cy="2118360"/>
                    </a:xfrm>
                    <a:prstGeom prst="rect">
                      <a:avLst/>
                    </a:prstGeom>
                    <a:noFill/>
                  </pic:spPr>
                </pic:pic>
              </a:graphicData>
            </a:graphic>
          </wp:anchor>
        </w:drawing>
      </w:r>
      <w:r>
        <w:rPr>
          <w:rFonts w:eastAsia="Arial"/>
          <w:kern w:val="0"/>
          <w14:ligatures w14:val="none"/>
        </w:rPr>
        <w:tab/>
      </w:r>
    </w:p>
    <w:p>
      <w:pPr>
        <w:pStyle w:val="Title"/>
        <w:spacing w:lineRule="auto" w:line="192" w:before="80" w:after="0"/>
        <w:ind w:start="1418"/>
        <w:contextualSpacing w:val="false"/>
        <w:rPr>
          <w:rFonts w:ascii="Arial" w:hAnsi="Arial" w:eastAsia="Aptos" w:cs="Arial" w:eastAsiaTheme="minorHAnsi"/>
          <w:color w:val="0B3CD1"/>
          <w:kern w:val="0"/>
          <w:sz w:val="72"/>
          <w:szCs w:val="72"/>
          <w14:ligatures w14:val="none"/>
        </w:rPr>
      </w:pPr>
      <w:r>
        <w:rPr>
          <w:rFonts w:eastAsia="Aptos" w:cs="Arial" w:eastAsiaTheme="minorHAnsi" w:ascii="Arial" w:hAnsi="Arial"/>
          <w:color w:val="0B3CD1"/>
          <w:kern w:val="0"/>
          <w:sz w:val="72"/>
          <w:szCs w:val="72"/>
          <w14:ligatures w14:val="none"/>
        </w:rPr>
      </w:r>
    </w:p>
    <w:p>
      <w:pPr>
        <w:pStyle w:val="Normal"/>
        <w:rPr>
          <w:sz w:val="72"/>
          <w:szCs w:val="72"/>
        </w:rPr>
      </w:pPr>
      <w:r>
        <w:rPr>
          <w:sz w:val="72"/>
          <w:szCs w:val="72"/>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i/>
          <w:iCs/>
          <w:sz w:val="20"/>
          <w:szCs w:val="20"/>
        </w:rPr>
      </w:pPr>
      <w:r>
        <w:rPr>
          <w:i/>
          <w:iCs/>
          <w:sz w:val="20"/>
          <w:szCs w:val="20"/>
        </w:rPr>
        <w:t>Other Information</w:t>
      </w:r>
    </w:p>
    <w:p>
      <w:pPr>
        <w:pStyle w:val="Normal"/>
        <w:rPr>
          <w:sz w:val="72"/>
          <w:szCs w:val="72"/>
        </w:rPr>
      </w:pPr>
      <w:r>
        <w:rPr/>
        <w:drawing>
          <wp:inline distT="0" distB="0" distL="0" distR="0">
            <wp:extent cx="4057650" cy="1479550"/>
            <wp:effectExtent l="0" t="0" r="0" b="0"/>
            <wp:docPr id="2" name="Εικόνα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104"/>
                    <pic:cNvPicPr>
                      <a:picLocks noChangeAspect="1" noChangeArrowheads="1"/>
                    </pic:cNvPicPr>
                  </pic:nvPicPr>
                  <pic:blipFill>
                    <a:blip r:embed="rId3"/>
                    <a:srcRect l="0" t="0" r="15943" b="0"/>
                    <a:stretch>
                      <a:fillRect/>
                    </a:stretch>
                  </pic:blipFill>
                  <pic:spPr bwMode="auto">
                    <a:xfrm>
                      <a:off x="0" y="0"/>
                      <a:ext cx="4057650" cy="1479550"/>
                    </a:xfrm>
                    <a:prstGeom prst="rect">
                      <a:avLst/>
                    </a:prstGeom>
                    <a:noFill/>
                  </pic:spPr>
                </pic:pic>
              </a:graphicData>
            </a:graphic>
          </wp:inline>
        </w:drawing>
      </w:r>
    </w:p>
    <w:p>
      <w:pPr>
        <w:pStyle w:val="Normal"/>
        <w:rPr/>
      </w:pPr>
      <w:r>
        <w:rPr/>
      </w:r>
    </w:p>
    <w:p>
      <w:pPr>
        <w:pStyle w:val="Normal"/>
        <w:rPr/>
      </w:pPr>
      <w:r>
        <w:rPr/>
      </w:r>
    </w:p>
    <w:p>
      <w:pPr>
        <w:pStyle w:val="Normal"/>
        <w:rPr/>
      </w:pPr>
      <w:r>
        <w:rPr/>
      </w:r>
    </w:p>
    <w:tbl>
      <w:tblPr>
        <w:tblStyle w:val="Style11"/>
        <w:tblpPr w:vertAnchor="text" w:horzAnchor="margin" w:leftFromText="180" w:rightFromText="180" w:tblpX="0" w:tblpY="466"/>
        <w:tblW w:w="939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071"/>
        <w:gridCol w:w="327"/>
      </w:tblGrid>
      <w:tr>
        <w:trPr>
          <w:trHeight w:val="426" w:hRule="atLeast"/>
          <w:cnfStyle w:val="100000000000" w:firstRow="1" w:lastRow="0" w:firstColumn="0" w:lastColumn="0" w:oddVBand="0" w:evenVBand="0" w:oddHBand="0" w:evenHBand="0" w:firstRowFirstColumn="0" w:firstRowLastColumn="0" w:lastRowFirstColumn="0" w:lastRowLastColumn="0"/>
        </w:trPr>
        <w:tc>
          <w:tcPr>
            <w:tcW w:w="9398" w:type="dxa"/>
            <w:gridSpan w:val="2"/>
            <w:tcBorders/>
            <w:shd w:color="auto" w:fill="156082" w:themeFill="accent1" w:val="clear"/>
            <w:vAlign w:val="center"/>
          </w:tcPr>
          <w:p>
            <w:pPr>
              <w:pStyle w:val="Normal"/>
              <w:widowControl/>
              <w:spacing w:lineRule="auto" w:line="240" w:before="80" w:after="120"/>
              <w:rPr>
                <w:color w:themeColor="background1" w:val="FFFFFF"/>
              </w:rPr>
            </w:pPr>
            <w:r>
              <w:rPr>
                <w:color w:themeColor="background1" w:val="FFFFFF"/>
                <w:kern w:val="0"/>
                <w:lang w:eastAsia="en-US" w:bidi="ar-SA"/>
              </w:rPr>
              <w:t>Phase 2. Infrastructure &amp; Data Setup and Preparation Activities</w:t>
            </w:r>
          </w:p>
          <w:p>
            <w:pPr>
              <w:pStyle w:val="Normal"/>
              <w:widowControl/>
              <w:spacing w:lineRule="auto" w:line="240" w:before="80" w:after="120"/>
              <w:rPr>
                <w:color w:themeColor="background1" w:val="FFFFFF"/>
              </w:rPr>
            </w:pPr>
            <w:r>
              <w:rPr>
                <w:color w:themeColor="background1" w:val="FFFFFF"/>
                <w:kern w:val="0"/>
                <w:lang w:eastAsia="en-US" w:bidi="ar-SA"/>
              </w:rPr>
            </w:r>
          </w:p>
        </w:tc>
      </w:tr>
      <w:tr>
        <w:trPr>
          <w:trHeight w:val="375" w:hRule="atLeast"/>
        </w:trPr>
        <w:tc>
          <w:tcPr>
            <w:tcW w:w="9071" w:type="dxa"/>
            <w:tcBorders/>
            <w:vAlign w:val="center"/>
          </w:tcPr>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p>
            <w:pPr>
              <w:pStyle w:val="Normal"/>
              <w:widowControl/>
              <w:spacing w:lineRule="auto" w:line="240"/>
              <w:rPr>
                <w:color w:themeColor="text1" w:val="000000"/>
                <w:kern w:val="0"/>
                <w:lang w:eastAsia="en-US" w:bidi="ar-SA"/>
              </w:rPr>
            </w:pPr>
            <w:r>
              <w:rPr>
                <w:color w:themeColor="text1" w:val="000000"/>
                <w:kern w:val="0"/>
                <w:lang w:eastAsia="en-US" w:bidi="ar-SA"/>
              </w:rPr>
              <w:t>D2.1 Mobile application including digital campaigns for AQ and UM issues, awareness alerts, route guidance and assessment of potential UM measures in at least TRL 7</w:t>
            </w:r>
          </w:p>
          <w:p>
            <w:pPr>
              <w:pStyle w:val="Normal"/>
              <w:widowControl/>
              <w:spacing w:lineRule="auto" w:line="240"/>
              <w:rPr>
                <w:color w:themeColor="text1" w:val="000000"/>
                <w:kern w:val="0"/>
                <w:lang w:eastAsia="en-US" w:bidi="ar-SA"/>
              </w:rPr>
            </w:pPr>
            <w:r>
              <w:rPr>
                <w:color w:themeColor="text1" w:val="000000"/>
                <w:kern w:val="0"/>
                <w:lang w:eastAsia="en-US" w:bidi="ar-SA"/>
              </w:rPr>
            </w:r>
          </w:p>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tc>
        <w:tc>
          <w:tcPr>
            <w:tcW w:w="327" w:type="dxa"/>
            <w:tcBorders/>
            <w:vAlign w:val="center"/>
          </w:tcPr>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tc>
      </w:tr>
      <w:tr>
        <w:trPr>
          <w:trHeight w:val="375" w:hRule="atLeast"/>
        </w:trPr>
        <w:tc>
          <w:tcPr>
            <w:tcW w:w="9071" w:type="dxa"/>
            <w:tcBorders/>
            <w:vAlign w:val="center"/>
          </w:tcPr>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tc>
        <w:tc>
          <w:tcPr>
            <w:tcW w:w="327" w:type="dxa"/>
            <w:tcBorders/>
            <w:vAlign w:val="center"/>
          </w:tcPr>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tc>
      </w:tr>
      <w:tr>
        <w:trPr>
          <w:trHeight w:val="375" w:hRule="atLeast"/>
        </w:trPr>
        <w:tc>
          <w:tcPr>
            <w:tcW w:w="9071" w:type="dxa"/>
            <w:tcBorders/>
            <w:vAlign w:val="center"/>
          </w:tcPr>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tc>
        <w:tc>
          <w:tcPr>
            <w:tcW w:w="327" w:type="dxa"/>
            <w:tcBorders/>
            <w:vAlign w:val="center"/>
          </w:tcPr>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tc>
      </w:tr>
      <w:tr>
        <w:trPr>
          <w:trHeight w:val="375" w:hRule="atLeast"/>
        </w:trPr>
        <w:tc>
          <w:tcPr>
            <w:tcW w:w="9071" w:type="dxa"/>
            <w:tcBorders/>
            <w:vAlign w:val="center"/>
          </w:tcPr>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tc>
        <w:tc>
          <w:tcPr>
            <w:tcW w:w="327" w:type="dxa"/>
            <w:tcBorders/>
            <w:vAlign w:val="center"/>
          </w:tcPr>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tc>
      </w:tr>
      <w:tr>
        <w:trPr>
          <w:trHeight w:val="375" w:hRule="atLeast"/>
        </w:trPr>
        <w:tc>
          <w:tcPr>
            <w:tcW w:w="9071" w:type="dxa"/>
            <w:tcBorders/>
            <w:vAlign w:val="center"/>
          </w:tcPr>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tc>
        <w:tc>
          <w:tcPr>
            <w:tcW w:w="327" w:type="dxa"/>
            <w:tcBorders/>
            <w:vAlign w:val="center"/>
          </w:tcPr>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tc>
      </w:tr>
      <w:tr>
        <w:trPr>
          <w:trHeight w:val="297" w:hRule="atLeast"/>
        </w:trPr>
        <w:tc>
          <w:tcPr>
            <w:tcW w:w="9071" w:type="dxa"/>
            <w:tcBorders/>
            <w:vAlign w:val="center"/>
          </w:tcPr>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tc>
        <w:tc>
          <w:tcPr>
            <w:tcW w:w="327" w:type="dxa"/>
            <w:tcBorders/>
            <w:vAlign w:val="center"/>
          </w:tcPr>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tc>
      </w:tr>
      <w:tr>
        <w:trPr>
          <w:trHeight w:val="310" w:hRule="atLeast"/>
        </w:trPr>
        <w:tc>
          <w:tcPr>
            <w:tcW w:w="9071" w:type="dxa"/>
            <w:tcBorders/>
            <w:vAlign w:val="center"/>
          </w:tcPr>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tc>
        <w:tc>
          <w:tcPr>
            <w:tcW w:w="327" w:type="dxa"/>
            <w:tcBorders/>
            <w:vAlign w:val="center"/>
          </w:tcPr>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Style w:val="Style11"/>
        <w:tblpPr w:vertAnchor="text" w:tblpYSpec="bottom" w:horzAnchor="margin" w:leftFromText="180" w:rightFromText="180" w:tblpX="0"/>
        <w:tblW w:w="9477"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673"/>
        <w:gridCol w:w="4804"/>
      </w:tblGrid>
      <w:tr>
        <w:trPr>
          <w:trHeight w:val="366" w:hRule="atLeast"/>
          <w:cnfStyle w:val="100000000000" w:firstRow="1" w:lastRow="0" w:firstColumn="0" w:lastColumn="0" w:oddVBand="0" w:evenVBand="0" w:oddHBand="0" w:evenHBand="0" w:firstRowFirstColumn="0" w:firstRowLastColumn="0" w:lastRowFirstColumn="0" w:lastRowLastColumn="0"/>
        </w:trPr>
        <w:tc>
          <w:tcPr>
            <w:tcW w:w="9477" w:type="dxa"/>
            <w:gridSpan w:val="2"/>
            <w:tcBorders/>
            <w:shd w:color="auto" w:fill="156082" w:themeFill="accent1" w:val="clear"/>
            <w:vAlign w:val="center"/>
          </w:tcPr>
          <w:p>
            <w:pPr>
              <w:pStyle w:val="Normal"/>
              <w:widowControl/>
              <w:spacing w:lineRule="auto" w:line="240" w:before="80" w:after="120"/>
              <w:rPr>
                <w:color w:themeColor="background1" w:val="FFFFFF"/>
              </w:rPr>
            </w:pPr>
            <w:r>
              <w:rPr>
                <w:color w:themeColor="background1" w:val="FFFFFF"/>
                <w:kern w:val="0"/>
                <w:lang w:eastAsia="en-US" w:bidi="ar-SA"/>
              </w:rPr>
              <w:t xml:space="preserve">Contributing Authors  </w:t>
            </w:r>
          </w:p>
        </w:tc>
      </w:tr>
      <w:tr>
        <w:trPr>
          <w:trHeight w:val="344" w:hRule="atLeast"/>
        </w:trPr>
        <w:tc>
          <w:tcPr>
            <w:tcW w:w="4673" w:type="dxa"/>
            <w:tcBorders/>
            <w:vAlign w:val="center"/>
          </w:tcPr>
          <w:p>
            <w:pPr>
              <w:pStyle w:val="Normal"/>
              <w:widowControl/>
              <w:spacing w:lineRule="auto" w:line="240" w:before="80" w:after="120"/>
              <w:rPr>
                <w:rFonts w:ascii="Aptos" w:hAnsi="Aptos" w:asciiTheme="minorHAnsi" w:hAnsiTheme="minorHAnsi"/>
                <w:color w:themeColor="accent1" w:themeShade="80" w:val="0A2F41"/>
                <w:kern w:val="2"/>
                <w:sz w:val="24"/>
                <w:szCs w:val="24"/>
                <w14:ligatures w14:val="standardContextual"/>
              </w:rPr>
            </w:pPr>
            <w:r>
              <w:rPr>
                <w:color w:themeColor="accent1" w:themeShade="80" w:val="0A2F41"/>
                <w:kern w:val="0"/>
                <w:lang w:eastAsia="en-US" w:bidi="ar-SA"/>
              </w:rPr>
              <w:t>Vasileios Mizaras</w:t>
            </w:r>
          </w:p>
        </w:tc>
        <w:tc>
          <w:tcPr>
            <w:tcW w:w="4804" w:type="dxa"/>
            <w:tcBorders/>
            <w:vAlign w:val="center"/>
          </w:tcPr>
          <w:p>
            <w:pPr>
              <w:pStyle w:val="Normal"/>
              <w:widowControl/>
              <w:spacing w:lineRule="auto" w:line="240" w:before="80" w:after="120"/>
              <w:rPr>
                <w:color w:themeColor="accent1" w:themeShade="80" w:val="0A2F41"/>
              </w:rPr>
            </w:pPr>
            <w:r>
              <w:rPr>
                <w:color w:themeColor="accent1" w:themeShade="80" w:val="0A2F41"/>
                <w:kern w:val="0"/>
                <w:lang w:eastAsia="en-US" w:bidi="ar-SA"/>
              </w:rPr>
              <w:t>Hellenic Institute of Transport/ CERTH</w:t>
            </w:r>
          </w:p>
        </w:tc>
      </w:tr>
      <w:tr>
        <w:trPr>
          <w:trHeight w:val="553" w:hRule="atLeast"/>
        </w:trPr>
        <w:tc>
          <w:tcPr>
            <w:tcW w:w="4673" w:type="dxa"/>
            <w:tcBorders/>
            <w:vAlign w:val="center"/>
          </w:tcPr>
          <w:p>
            <w:pPr>
              <w:pStyle w:val="Normal"/>
              <w:widowControl/>
              <w:spacing w:lineRule="auto" w:line="240" w:before="80" w:after="120"/>
              <w:rPr>
                <w:color w:themeColor="accent1" w:themeShade="80" w:val="0A2F41"/>
              </w:rPr>
            </w:pPr>
            <w:r>
              <w:rPr>
                <w:color w:themeColor="accent1" w:themeShade="80" w:val="0A2F41"/>
                <w:kern w:val="0"/>
                <w:lang w:eastAsia="en-US" w:bidi="ar-SA"/>
              </w:rPr>
              <w:t>Panagiotis Tzenos</w:t>
            </w:r>
          </w:p>
        </w:tc>
        <w:tc>
          <w:tcPr>
            <w:tcW w:w="4804" w:type="dxa"/>
            <w:tcBorders/>
            <w:vAlign w:val="center"/>
          </w:tcPr>
          <w:p>
            <w:pPr>
              <w:pStyle w:val="Normal"/>
              <w:widowControl/>
              <w:spacing w:lineRule="auto" w:line="240" w:before="80" w:after="120"/>
              <w:rPr>
                <w:color w:themeColor="accent1" w:themeShade="80" w:val="0A2F41"/>
              </w:rPr>
            </w:pPr>
            <w:r>
              <w:rPr>
                <w:color w:themeColor="accent1" w:themeShade="80" w:val="0A2F41"/>
                <w:kern w:val="0"/>
                <w:lang w:eastAsia="en-US" w:bidi="ar-SA"/>
              </w:rPr>
              <w:t>Hellenic Institute of Transport/ CERTH</w:t>
            </w:r>
          </w:p>
        </w:tc>
      </w:tr>
      <w:tr>
        <w:trPr>
          <w:trHeight w:val="344" w:hRule="atLeast"/>
        </w:trPr>
        <w:tc>
          <w:tcPr>
            <w:tcW w:w="4673" w:type="dxa"/>
            <w:tcBorders/>
            <w:vAlign w:val="center"/>
          </w:tcPr>
          <w:p>
            <w:pPr>
              <w:pStyle w:val="Normal"/>
              <w:widowControl/>
              <w:spacing w:lineRule="auto" w:line="240" w:before="80" w:after="120"/>
              <w:rPr>
                <w:color w:themeColor="accent1" w:themeShade="80" w:val="0A2F41"/>
              </w:rPr>
            </w:pPr>
            <w:r>
              <w:rPr>
                <w:color w:themeColor="accent1" w:themeShade="80" w:val="0A2F41"/>
                <w:kern w:val="0"/>
                <w:lang w:eastAsia="en-US" w:bidi="ar-SA"/>
              </w:rPr>
              <w:t>Athanasios Tolikas</w:t>
            </w:r>
          </w:p>
        </w:tc>
        <w:tc>
          <w:tcPr>
            <w:tcW w:w="4804" w:type="dxa"/>
            <w:tcBorders/>
            <w:vAlign w:val="center"/>
          </w:tcPr>
          <w:p>
            <w:pPr>
              <w:pStyle w:val="Normal"/>
              <w:widowControl/>
              <w:spacing w:lineRule="auto" w:line="240" w:before="80" w:after="120"/>
              <w:rPr>
                <w:color w:themeColor="accent1" w:themeShade="80" w:val="0A2F41"/>
              </w:rPr>
            </w:pPr>
            <w:r>
              <w:rPr>
                <w:color w:themeColor="accent1" w:themeShade="80" w:val="0A2F41"/>
                <w:kern w:val="0"/>
                <w:lang w:eastAsia="en-US" w:bidi="ar-SA"/>
              </w:rPr>
              <w:t>Hellenic Institute of Transport/ CERTH</w:t>
            </w:r>
          </w:p>
        </w:tc>
      </w:tr>
      <w:tr>
        <w:trPr>
          <w:trHeight w:val="258" w:hRule="atLeast"/>
        </w:trPr>
        <w:tc>
          <w:tcPr>
            <w:tcW w:w="4673" w:type="dxa"/>
            <w:tcBorders/>
            <w:vAlign w:val="center"/>
          </w:tcPr>
          <w:p>
            <w:pPr>
              <w:pStyle w:val="Normal"/>
              <w:widowControl/>
              <w:spacing w:lineRule="auto" w:line="240" w:before="80" w:after="120"/>
              <w:rPr>
                <w:color w:themeColor="accent1" w:themeShade="80" w:val="0A2F41"/>
              </w:rPr>
            </w:pPr>
            <w:r>
              <w:rPr>
                <w:color w:themeColor="accent1" w:themeShade="80" w:val="0A2F41"/>
                <w:kern w:val="0"/>
                <w:lang w:eastAsia="en-US" w:bidi="ar-SA"/>
              </w:rPr>
              <w:t>Alexandros Deligiannis</w:t>
            </w:r>
          </w:p>
        </w:tc>
        <w:tc>
          <w:tcPr>
            <w:tcW w:w="4804" w:type="dxa"/>
            <w:tcBorders/>
            <w:vAlign w:val="center"/>
          </w:tcPr>
          <w:p>
            <w:pPr>
              <w:pStyle w:val="Normal"/>
              <w:widowControl/>
              <w:spacing w:lineRule="auto" w:line="240" w:before="80" w:after="120"/>
              <w:rPr>
                <w:color w:themeColor="accent1" w:themeShade="80" w:val="0A2F41"/>
              </w:rPr>
            </w:pPr>
            <w:r>
              <w:rPr>
                <w:color w:themeColor="accent1" w:themeShade="80" w:val="0A2F41"/>
                <w:kern w:val="0"/>
                <w:lang w:eastAsia="en-US" w:bidi="ar-SA"/>
              </w:rPr>
              <w:t>Hellenic Institute of Transport/ CERTH</w:t>
            </w:r>
          </w:p>
        </w:tc>
      </w:tr>
      <w:tr>
        <w:trPr>
          <w:trHeight w:val="269" w:hRule="atLeast"/>
        </w:trPr>
        <w:tc>
          <w:tcPr>
            <w:tcW w:w="4673" w:type="dxa"/>
            <w:tcBorders/>
            <w:vAlign w:val="center"/>
          </w:tcPr>
          <w:p>
            <w:pPr>
              <w:pStyle w:val="Normal"/>
              <w:widowControl/>
              <w:spacing w:lineRule="auto" w:line="240" w:before="80" w:after="120"/>
              <w:rPr>
                <w:color w:themeColor="accent1" w:themeShade="80" w:val="0A2F41"/>
              </w:rPr>
            </w:pPr>
            <w:r>
              <w:rPr>
                <w:color w:themeColor="accent1" w:themeShade="80" w:val="0A2F41"/>
                <w:kern w:val="0"/>
                <w:lang w:eastAsia="en-US" w:bidi="ar-SA"/>
              </w:rPr>
              <w:t>Zisis Maleas</w:t>
            </w:r>
          </w:p>
        </w:tc>
        <w:tc>
          <w:tcPr>
            <w:tcW w:w="4804" w:type="dxa"/>
            <w:tcBorders/>
            <w:vAlign w:val="center"/>
          </w:tcPr>
          <w:p>
            <w:pPr>
              <w:pStyle w:val="Normal"/>
              <w:widowControl/>
              <w:spacing w:lineRule="auto" w:line="240" w:before="80" w:after="120"/>
              <w:rPr>
                <w:color w:themeColor="accent1" w:themeShade="80" w:val="0A2F41"/>
              </w:rPr>
            </w:pPr>
            <w:r>
              <w:rPr>
                <w:color w:themeColor="accent1" w:themeShade="80" w:val="0A2F41"/>
                <w:kern w:val="0"/>
                <w:lang w:eastAsia="en-US" w:bidi="ar-SA"/>
              </w:rPr>
              <w:t>Hellenic Institute of Transport/ CERTH</w:t>
            </w:r>
          </w:p>
        </w:tc>
      </w:tr>
      <w:tr>
        <w:trPr>
          <w:trHeight w:val="269" w:hRule="atLeast"/>
        </w:trPr>
        <w:tc>
          <w:tcPr>
            <w:tcW w:w="4673" w:type="dxa"/>
            <w:tcBorders/>
            <w:vAlign w:val="center"/>
          </w:tcPr>
          <w:p>
            <w:pPr>
              <w:pStyle w:val="Normal"/>
              <w:widowControl/>
              <w:spacing w:lineRule="auto" w:line="240" w:before="80" w:after="120"/>
              <w:rPr>
                <w:color w:themeColor="accent1" w:themeShade="80" w:val="0A2F41"/>
              </w:rPr>
            </w:pPr>
            <w:r>
              <w:rPr>
                <w:color w:themeColor="accent1" w:themeShade="80" w:val="0A2F41"/>
                <w:kern w:val="0"/>
                <w:lang w:eastAsia="en-US" w:bidi="ar-SA"/>
              </w:rPr>
              <w:t>Sofia Alvanou</w:t>
            </w:r>
          </w:p>
        </w:tc>
        <w:tc>
          <w:tcPr>
            <w:tcW w:w="4804" w:type="dxa"/>
            <w:tcBorders/>
            <w:vAlign w:val="center"/>
          </w:tcPr>
          <w:p>
            <w:pPr>
              <w:pStyle w:val="Normal"/>
              <w:widowControl/>
              <w:spacing w:lineRule="auto" w:line="240" w:before="80" w:after="120"/>
              <w:rPr>
                <w:color w:themeColor="accent1" w:themeShade="80" w:val="0A2F41"/>
              </w:rPr>
            </w:pPr>
            <w:r>
              <w:rPr>
                <w:color w:themeColor="accent1" w:themeShade="80" w:val="0A2F41"/>
                <w:kern w:val="0"/>
                <w:lang w:eastAsia="en-US" w:bidi="ar-SA"/>
              </w:rPr>
              <w:t>Hellenic Institute of Transport/ CERTH</w:t>
            </w:r>
          </w:p>
        </w:tc>
      </w:tr>
      <w:tr>
        <w:trPr>
          <w:trHeight w:val="258" w:hRule="atLeast"/>
        </w:trPr>
        <w:tc>
          <w:tcPr>
            <w:tcW w:w="4673" w:type="dxa"/>
            <w:tcBorders/>
            <w:vAlign w:val="center"/>
          </w:tcPr>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tc>
        <w:tc>
          <w:tcPr>
            <w:tcW w:w="4804" w:type="dxa"/>
            <w:tcBorders/>
            <w:vAlign w:val="center"/>
          </w:tcPr>
          <w:p>
            <w:pPr>
              <w:pStyle w:val="Normal"/>
              <w:widowControl/>
              <w:spacing w:lineRule="auto" w:line="240" w:before="80" w:after="120"/>
              <w:rPr>
                <w:color w:themeColor="text1" w:val="000000"/>
                <w:kern w:val="0"/>
                <w:lang w:eastAsia="en-US" w:bidi="ar-SA"/>
              </w:rPr>
            </w:pPr>
            <w:r>
              <w:rPr>
                <w:color w:themeColor="text1" w:val="000000"/>
                <w:kern w:val="0"/>
                <w:lang w:eastAsia="en-US" w:bidi="ar-SA"/>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sdt>
      <w:sdtPr>
        <w:docPartObj>
          <w:docPartGallery w:val="Table of Contents"/>
          <w:docPartUnique w:val="true"/>
        </w:docPartObj>
      </w:sdtPr>
      <w:sdtContent>
        <w:p>
          <w:pPr>
            <w:pStyle w:val="TOCHeading"/>
            <w:rPr>
              <w:b/>
              <w:bCs/>
              <w:sz w:val="28"/>
              <w:szCs w:val="28"/>
              <w:lang w:val="en-GB"/>
            </w:rPr>
          </w:pPr>
          <w:r>
            <w:rPr>
              <w:b/>
              <w:bCs/>
              <w:sz w:val="28"/>
              <w:szCs w:val="28"/>
              <w:lang w:val="en-GB"/>
            </w:rPr>
            <w:t>Table of Contents</w:t>
          </w:r>
        </w:p>
        <w:p>
          <w:pPr>
            <w:pStyle w:val="TOC1"/>
            <w:tabs>
              <w:tab w:val="clear" w:pos="720"/>
              <w:tab w:val="right" w:pos="9350" w:leader="dot"/>
            </w:tabs>
            <w:rPr>
              <w:rFonts w:ascii="Aptos" w:hAnsi="Aptos" w:eastAsia="游明朝" w:cs="Arial" w:asciiTheme="minorHAnsi" w:cstheme="minorBidi" w:eastAsiaTheme="minorEastAsia" w:hAnsiTheme="minorHAnsi"/>
              <w:b w:val="false"/>
              <w:bCs w:val="false"/>
              <w:sz w:val="24"/>
              <w:szCs w:val="24"/>
              <w:lang w:val="en-US"/>
            </w:rPr>
          </w:pPr>
          <w:r>
            <w:fldChar w:fldCharType="begin"/>
          </w:r>
          <w:r>
            <w:rPr>
              <w:rStyle w:val="IndexLink"/>
              <w:webHidden/>
            </w:rPr>
            <w:instrText xml:space="preserve"> TOC \z \o "1-3" \u \h</w:instrText>
          </w:r>
          <w:r>
            <w:rPr>
              <w:rStyle w:val="IndexLink"/>
              <w:webHidden/>
            </w:rPr>
            <w:fldChar w:fldCharType="separate"/>
          </w:r>
          <w:hyperlink w:anchor="_Toc226020120">
            <w:r>
              <w:rPr>
                <w:rStyle w:val="IndexLink"/>
                <w:webHidden/>
              </w:rPr>
              <w:t>1. Data Sources’ Readiness (R2.2)</w:t>
            </w:r>
            <w:r>
              <w:rPr>
                <w:webHidden/>
              </w:rPr>
              <w:fldChar w:fldCharType="begin"/>
            </w:r>
            <w:r>
              <w:rPr>
                <w:webHidden/>
              </w:rPr>
              <w:instrText xml:space="preserve">PAGEREF _Toc226020120 \h</w:instrText>
            </w:r>
            <w:r>
              <w:rPr>
                <w:webHidden/>
              </w:rPr>
              <w:fldChar w:fldCharType="separate"/>
            </w:r>
            <w:r>
              <w:rPr>
                <w:rStyle w:val="IndexLink"/>
                <w:vanish w:val="false"/>
              </w:rPr>
              <w:tab/>
              <w:t>6</w:t>
            </w:r>
            <w:r>
              <w:rPr>
                <w:webHidden/>
              </w:rPr>
              <w:fldChar w:fldCharType="end"/>
            </w:r>
          </w:hyperlink>
        </w:p>
        <w:p>
          <w:pPr>
            <w:pStyle w:val="TOC2"/>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21">
            <w:r>
              <w:rPr>
                <w:rStyle w:val="IndexLink"/>
                <w:webHidden/>
              </w:rPr>
              <w:t>1.1 Environmental and Air Quality Data</w:t>
            </w:r>
            <w:r>
              <w:rPr>
                <w:webHidden/>
              </w:rPr>
              <w:fldChar w:fldCharType="begin"/>
            </w:r>
            <w:r>
              <w:rPr>
                <w:webHidden/>
              </w:rPr>
              <w:instrText xml:space="preserve">PAGEREF _Toc226020121 \h</w:instrText>
            </w:r>
            <w:r>
              <w:rPr>
                <w:webHidden/>
              </w:rPr>
              <w:fldChar w:fldCharType="separate"/>
            </w:r>
            <w:r>
              <w:rPr>
                <w:rStyle w:val="IndexLink"/>
                <w:vanish w:val="false"/>
              </w:rPr>
              <w:tab/>
              <w:t>6</w:t>
            </w:r>
            <w:r>
              <w:rPr>
                <w:webHidden/>
              </w:rPr>
              <w:fldChar w:fldCharType="end"/>
            </w:r>
          </w:hyperlink>
        </w:p>
        <w:p>
          <w:pPr>
            <w:pStyle w:val="TOC2"/>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22">
            <w:r>
              <w:rPr>
                <w:rStyle w:val="IndexLink"/>
                <w:webHidden/>
              </w:rPr>
              <w:t>1.2 Downscaling of Air Quality Estimates</w:t>
            </w:r>
            <w:r>
              <w:rPr>
                <w:webHidden/>
              </w:rPr>
              <w:fldChar w:fldCharType="begin"/>
            </w:r>
            <w:r>
              <w:rPr>
                <w:webHidden/>
              </w:rPr>
              <w:instrText xml:space="preserve">PAGEREF _Toc226020122 \h</w:instrText>
            </w:r>
            <w:r>
              <w:rPr>
                <w:webHidden/>
              </w:rPr>
              <w:fldChar w:fldCharType="separate"/>
            </w:r>
            <w:r>
              <w:rPr>
                <w:rStyle w:val="IndexLink"/>
                <w:vanish w:val="false"/>
              </w:rPr>
              <w:tab/>
              <w:t>7</w:t>
            </w:r>
            <w:r>
              <w:rPr>
                <w:webHidden/>
              </w:rPr>
              <w:fldChar w:fldCharType="end"/>
            </w:r>
          </w:hyperlink>
        </w:p>
        <w:p>
          <w:pPr>
            <w:pStyle w:val="TOC2"/>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23">
            <w:r>
              <w:rPr>
                <w:rStyle w:val="IndexLink"/>
                <w:webHidden/>
              </w:rPr>
              <w:t>1.3 Mobility and Transport Data</w:t>
            </w:r>
            <w:r>
              <w:rPr>
                <w:webHidden/>
              </w:rPr>
              <w:fldChar w:fldCharType="begin"/>
            </w:r>
            <w:r>
              <w:rPr>
                <w:webHidden/>
              </w:rPr>
              <w:instrText xml:space="preserve">PAGEREF _Toc226020123 \h</w:instrText>
            </w:r>
            <w:r>
              <w:rPr>
                <w:webHidden/>
              </w:rPr>
              <w:fldChar w:fldCharType="separate"/>
            </w:r>
            <w:r>
              <w:rPr>
                <w:rStyle w:val="IndexLink"/>
                <w:vanish w:val="false"/>
              </w:rPr>
              <w:tab/>
              <w:t>8</w:t>
            </w:r>
            <w:r>
              <w:rPr>
                <w:webHidden/>
              </w:rPr>
              <w:fldChar w:fldCharType="end"/>
            </w:r>
          </w:hyperlink>
        </w:p>
        <w:p>
          <w:pPr>
            <w:pStyle w:val="TOC2"/>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24">
            <w:r>
              <w:rPr>
                <w:rStyle w:val="IndexLink"/>
                <w:webHidden/>
              </w:rPr>
              <w:t>1.4 Behavioural and User Interaction Data</w:t>
            </w:r>
            <w:r>
              <w:rPr>
                <w:webHidden/>
              </w:rPr>
              <w:fldChar w:fldCharType="begin"/>
            </w:r>
            <w:r>
              <w:rPr>
                <w:webHidden/>
              </w:rPr>
              <w:instrText xml:space="preserve">PAGEREF _Toc226020124 \h</w:instrText>
            </w:r>
            <w:r>
              <w:rPr>
                <w:webHidden/>
              </w:rPr>
              <w:fldChar w:fldCharType="separate"/>
            </w:r>
            <w:r>
              <w:rPr>
                <w:rStyle w:val="IndexLink"/>
                <w:vanish w:val="false"/>
              </w:rPr>
              <w:tab/>
              <w:t>8</w:t>
            </w:r>
            <w:r>
              <w:rPr>
                <w:webHidden/>
              </w:rPr>
              <w:fldChar w:fldCharType="end"/>
            </w:r>
          </w:hyperlink>
        </w:p>
        <w:p>
          <w:pPr>
            <w:pStyle w:val="TOC2"/>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25">
            <w:r>
              <w:rPr>
                <w:rStyle w:val="IndexLink"/>
                <w:webHidden/>
              </w:rPr>
              <w:t>1.5 Data Transmission and Integration</w:t>
            </w:r>
            <w:r>
              <w:rPr>
                <w:webHidden/>
              </w:rPr>
              <w:fldChar w:fldCharType="begin"/>
            </w:r>
            <w:r>
              <w:rPr>
                <w:webHidden/>
              </w:rPr>
              <w:instrText xml:space="preserve">PAGEREF _Toc226020125 \h</w:instrText>
            </w:r>
            <w:r>
              <w:rPr>
                <w:webHidden/>
              </w:rPr>
              <w:fldChar w:fldCharType="separate"/>
            </w:r>
            <w:r>
              <w:rPr>
                <w:rStyle w:val="IndexLink"/>
                <w:vanish w:val="false"/>
              </w:rPr>
              <w:tab/>
              <w:t>9</w:t>
            </w:r>
            <w:r>
              <w:rPr>
                <w:webHidden/>
              </w:rPr>
              <w:fldChar w:fldCharType="end"/>
            </w:r>
          </w:hyperlink>
        </w:p>
        <w:p>
          <w:pPr>
            <w:pStyle w:val="TOC2"/>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26">
            <w:r>
              <w:rPr>
                <w:rStyle w:val="IndexLink"/>
                <w:webHidden/>
              </w:rPr>
              <w:t>1.6 Overall Data Readiness</w:t>
            </w:r>
            <w:r>
              <w:rPr>
                <w:webHidden/>
              </w:rPr>
              <w:fldChar w:fldCharType="begin"/>
            </w:r>
            <w:r>
              <w:rPr>
                <w:webHidden/>
              </w:rPr>
              <w:instrText xml:space="preserve">PAGEREF _Toc226020126 \h</w:instrText>
            </w:r>
            <w:r>
              <w:rPr>
                <w:webHidden/>
              </w:rPr>
              <w:fldChar w:fldCharType="separate"/>
            </w:r>
            <w:r>
              <w:rPr>
                <w:rStyle w:val="IndexLink"/>
                <w:vanish w:val="false"/>
              </w:rPr>
              <w:tab/>
              <w:t>9</w:t>
            </w:r>
            <w:r>
              <w:rPr>
                <w:webHidden/>
              </w:rPr>
              <w:fldChar w:fldCharType="end"/>
            </w:r>
          </w:hyperlink>
        </w:p>
        <w:p>
          <w:pPr>
            <w:pStyle w:val="TOC1"/>
            <w:tabs>
              <w:tab w:val="clear" w:pos="720"/>
              <w:tab w:val="right" w:pos="9350" w:leader="dot"/>
            </w:tabs>
            <w:rPr>
              <w:rFonts w:ascii="Aptos" w:hAnsi="Aptos" w:eastAsia="游明朝" w:cs="Arial" w:asciiTheme="minorHAnsi" w:cstheme="minorBidi" w:eastAsiaTheme="minorEastAsia" w:hAnsiTheme="minorHAnsi"/>
              <w:b w:val="false"/>
              <w:bCs w:val="false"/>
              <w:sz w:val="24"/>
              <w:szCs w:val="24"/>
              <w:lang w:val="en-US"/>
            </w:rPr>
          </w:pPr>
          <w:hyperlink w:anchor="_Toc226020127">
            <w:r>
              <w:rPr>
                <w:rStyle w:val="IndexLink"/>
                <w:webHidden/>
              </w:rPr>
              <w:t>2. Digitalisation of Urban mobility measures</w:t>
            </w:r>
            <w:r>
              <w:rPr>
                <w:webHidden/>
              </w:rPr>
              <w:fldChar w:fldCharType="begin"/>
            </w:r>
            <w:r>
              <w:rPr>
                <w:webHidden/>
              </w:rPr>
              <w:instrText xml:space="preserve">PAGEREF _Toc226020127 \h</w:instrText>
            </w:r>
            <w:r>
              <w:rPr>
                <w:webHidden/>
              </w:rPr>
              <w:fldChar w:fldCharType="separate"/>
            </w:r>
            <w:r>
              <w:rPr>
                <w:rStyle w:val="IndexLink"/>
                <w:vanish w:val="false"/>
              </w:rPr>
              <w:tab/>
              <w:t>12</w:t>
            </w:r>
            <w:r>
              <w:rPr>
                <w:webHidden/>
              </w:rPr>
              <w:fldChar w:fldCharType="end"/>
            </w:r>
          </w:hyperlink>
        </w:p>
        <w:p>
          <w:pPr>
            <w:pStyle w:val="TOC2"/>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28">
            <w:r>
              <w:rPr>
                <w:rStyle w:val="IndexLink"/>
                <w:rFonts w:cs="Arial" w:ascii="Arial" w:hAnsi="Arial"/>
                <w:webHidden/>
                <w:kern w:val="0"/>
                <w14:ligatures w14:val="none"/>
              </w:rPr>
              <w:t>2</w:t>
            </w:r>
            <w:r>
              <w:rPr>
                <w:rStyle w:val="IndexLink"/>
              </w:rPr>
              <w:t>.1 Introduction of Mobilair’s Vision for Effective Urban Mobility Management Based on Citizens’ Engagement</w:t>
            </w:r>
            <w:r>
              <w:rPr>
                <w:webHidden/>
              </w:rPr>
              <w:fldChar w:fldCharType="begin"/>
            </w:r>
            <w:r>
              <w:rPr>
                <w:webHidden/>
              </w:rPr>
              <w:instrText xml:space="preserve">PAGEREF _Toc226020128 \h</w:instrText>
            </w:r>
            <w:r>
              <w:rPr>
                <w:webHidden/>
              </w:rPr>
              <w:fldChar w:fldCharType="separate"/>
            </w:r>
            <w:r>
              <w:rPr>
                <w:rStyle w:val="IndexLink"/>
                <w:vanish w:val="false"/>
              </w:rPr>
              <w:tab/>
              <w:t>12</w:t>
            </w:r>
            <w:r>
              <w:rPr>
                <w:webHidden/>
              </w:rPr>
              <w:fldChar w:fldCharType="end"/>
            </w:r>
          </w:hyperlink>
        </w:p>
        <w:p>
          <w:pPr>
            <w:pStyle w:val="TOC2"/>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29">
            <w:r>
              <w:rPr>
                <w:rStyle w:val="IndexLink"/>
                <w:webHidden/>
              </w:rPr>
              <w:t>2.2 Air Quality &amp; Mobility Assets Display and Incentives</w:t>
            </w:r>
            <w:r>
              <w:rPr>
                <w:webHidden/>
              </w:rPr>
              <w:fldChar w:fldCharType="begin"/>
            </w:r>
            <w:r>
              <w:rPr>
                <w:webHidden/>
              </w:rPr>
              <w:instrText xml:space="preserve">PAGEREF _Toc226020129 \h</w:instrText>
            </w:r>
            <w:r>
              <w:rPr>
                <w:webHidden/>
              </w:rPr>
              <w:fldChar w:fldCharType="separate"/>
            </w:r>
            <w:r>
              <w:rPr>
                <w:rStyle w:val="IndexLink"/>
                <w:vanish w:val="false"/>
              </w:rPr>
              <w:tab/>
              <w:t>13</w:t>
            </w:r>
            <w:r>
              <w:rPr>
                <w:webHidden/>
              </w:rPr>
              <w:fldChar w:fldCharType="end"/>
            </w:r>
          </w:hyperlink>
        </w:p>
        <w:p>
          <w:pPr>
            <w:pStyle w:val="TOC3"/>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30">
            <w:r>
              <w:rPr>
                <w:rStyle w:val="IndexLink"/>
                <w:webHidden/>
              </w:rPr>
              <w:t>Air quality display</w:t>
            </w:r>
            <w:r>
              <w:rPr>
                <w:webHidden/>
              </w:rPr>
              <w:fldChar w:fldCharType="begin"/>
            </w:r>
            <w:r>
              <w:rPr>
                <w:webHidden/>
              </w:rPr>
              <w:instrText xml:space="preserve">PAGEREF _Toc226020130 \h</w:instrText>
            </w:r>
            <w:r>
              <w:rPr>
                <w:webHidden/>
              </w:rPr>
              <w:fldChar w:fldCharType="separate"/>
            </w:r>
            <w:r>
              <w:rPr>
                <w:rStyle w:val="IndexLink"/>
                <w:vanish w:val="false"/>
              </w:rPr>
              <w:tab/>
              <w:t>13</w:t>
            </w:r>
            <w:r>
              <w:rPr>
                <w:webHidden/>
              </w:rPr>
              <w:fldChar w:fldCharType="end"/>
            </w:r>
          </w:hyperlink>
        </w:p>
        <w:p>
          <w:pPr>
            <w:pStyle w:val="TOC3"/>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31">
            <w:r>
              <w:rPr>
                <w:rStyle w:val="IndexLink"/>
                <w:webHidden/>
              </w:rPr>
              <w:t>Mobility assets display</w:t>
            </w:r>
            <w:r>
              <w:rPr>
                <w:webHidden/>
              </w:rPr>
              <w:fldChar w:fldCharType="begin"/>
            </w:r>
            <w:r>
              <w:rPr>
                <w:webHidden/>
              </w:rPr>
              <w:instrText xml:space="preserve">PAGEREF _Toc226020131 \h</w:instrText>
            </w:r>
            <w:r>
              <w:rPr>
                <w:webHidden/>
              </w:rPr>
              <w:fldChar w:fldCharType="separate"/>
            </w:r>
            <w:r>
              <w:rPr>
                <w:rStyle w:val="IndexLink"/>
                <w:vanish w:val="false"/>
              </w:rPr>
              <w:tab/>
              <w:t>14</w:t>
            </w:r>
            <w:r>
              <w:rPr>
                <w:webHidden/>
              </w:rPr>
              <w:fldChar w:fldCharType="end"/>
            </w:r>
          </w:hyperlink>
        </w:p>
        <w:p>
          <w:pPr>
            <w:pStyle w:val="TOC2"/>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32">
            <w:r>
              <w:rPr>
                <w:rStyle w:val="IndexLink"/>
                <w:webHidden/>
              </w:rPr>
              <w:t>2.3 Gamification, Quiz &amp; Survey</w:t>
            </w:r>
            <w:r>
              <w:rPr>
                <w:webHidden/>
              </w:rPr>
              <w:fldChar w:fldCharType="begin"/>
            </w:r>
            <w:r>
              <w:rPr>
                <w:webHidden/>
              </w:rPr>
              <w:instrText xml:space="preserve">PAGEREF _Toc226020132 \h</w:instrText>
            </w:r>
            <w:r>
              <w:rPr>
                <w:webHidden/>
              </w:rPr>
              <w:fldChar w:fldCharType="separate"/>
            </w:r>
            <w:r>
              <w:rPr>
                <w:rStyle w:val="IndexLink"/>
                <w:vanish w:val="false"/>
              </w:rPr>
              <w:tab/>
              <w:t>15</w:t>
            </w:r>
            <w:r>
              <w:rPr>
                <w:webHidden/>
              </w:rPr>
              <w:fldChar w:fldCharType="end"/>
            </w:r>
          </w:hyperlink>
        </w:p>
        <w:p>
          <w:pPr>
            <w:pStyle w:val="TOC3"/>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33">
            <w:r>
              <w:rPr>
                <w:rStyle w:val="IndexLink"/>
                <w:webHidden/>
              </w:rPr>
              <w:t>2.3.1 Overview and Design Rationale</w:t>
            </w:r>
            <w:r>
              <w:rPr>
                <w:webHidden/>
              </w:rPr>
              <w:fldChar w:fldCharType="begin"/>
            </w:r>
            <w:r>
              <w:rPr>
                <w:webHidden/>
              </w:rPr>
              <w:instrText xml:space="preserve">PAGEREF _Toc226020133 \h</w:instrText>
            </w:r>
            <w:r>
              <w:rPr>
                <w:webHidden/>
              </w:rPr>
              <w:fldChar w:fldCharType="separate"/>
            </w:r>
            <w:r>
              <w:rPr>
                <w:rStyle w:val="IndexLink"/>
                <w:vanish w:val="false"/>
              </w:rPr>
              <w:tab/>
              <w:t>15</w:t>
            </w:r>
            <w:r>
              <w:rPr>
                <w:webHidden/>
              </w:rPr>
              <w:fldChar w:fldCharType="end"/>
            </w:r>
          </w:hyperlink>
        </w:p>
        <w:p>
          <w:pPr>
            <w:pStyle w:val="TOC3"/>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34">
            <w:r>
              <w:rPr>
                <w:rStyle w:val="IndexLink"/>
                <w:webHidden/>
              </w:rPr>
              <w:t>2.3.2 Gamification system</w:t>
            </w:r>
            <w:r>
              <w:rPr>
                <w:webHidden/>
              </w:rPr>
              <w:fldChar w:fldCharType="begin"/>
            </w:r>
            <w:r>
              <w:rPr>
                <w:webHidden/>
              </w:rPr>
              <w:instrText xml:space="preserve">PAGEREF _Toc226020134 \h</w:instrText>
            </w:r>
            <w:r>
              <w:rPr>
                <w:webHidden/>
              </w:rPr>
              <w:fldChar w:fldCharType="separate"/>
            </w:r>
            <w:r>
              <w:rPr>
                <w:rStyle w:val="IndexLink"/>
                <w:vanish w:val="false"/>
              </w:rPr>
              <w:tab/>
              <w:t>15</w:t>
            </w:r>
            <w:r>
              <w:rPr>
                <w:webHidden/>
              </w:rPr>
              <w:fldChar w:fldCharType="end"/>
            </w:r>
          </w:hyperlink>
        </w:p>
        <w:p>
          <w:pPr>
            <w:pStyle w:val="TOC3"/>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35">
            <w:r>
              <w:rPr>
                <w:rStyle w:val="IndexLink"/>
                <w:webHidden/>
              </w:rPr>
              <w:t>2.3.3 Quiz module</w:t>
            </w:r>
            <w:r>
              <w:rPr>
                <w:webHidden/>
              </w:rPr>
              <w:fldChar w:fldCharType="begin"/>
            </w:r>
            <w:r>
              <w:rPr>
                <w:webHidden/>
              </w:rPr>
              <w:instrText xml:space="preserve">PAGEREF _Toc226020135 \h</w:instrText>
            </w:r>
            <w:r>
              <w:rPr>
                <w:webHidden/>
              </w:rPr>
              <w:fldChar w:fldCharType="separate"/>
            </w:r>
            <w:r>
              <w:rPr>
                <w:rStyle w:val="IndexLink"/>
                <w:vanish w:val="false"/>
              </w:rPr>
              <w:tab/>
              <w:t>18</w:t>
            </w:r>
            <w:r>
              <w:rPr>
                <w:webHidden/>
              </w:rPr>
              <w:fldChar w:fldCharType="end"/>
            </w:r>
          </w:hyperlink>
        </w:p>
        <w:p>
          <w:pPr>
            <w:pStyle w:val="TOC3"/>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36">
            <w:r>
              <w:rPr>
                <w:rStyle w:val="IndexLink"/>
                <w:webHidden/>
              </w:rPr>
              <w:t>2.3.4 Survey module</w:t>
            </w:r>
            <w:r>
              <w:rPr>
                <w:webHidden/>
              </w:rPr>
              <w:fldChar w:fldCharType="begin"/>
            </w:r>
            <w:r>
              <w:rPr>
                <w:webHidden/>
              </w:rPr>
              <w:instrText xml:space="preserve">PAGEREF _Toc226020136 \h</w:instrText>
            </w:r>
            <w:r>
              <w:rPr>
                <w:webHidden/>
              </w:rPr>
              <w:fldChar w:fldCharType="separate"/>
            </w:r>
            <w:r>
              <w:rPr>
                <w:rStyle w:val="IndexLink"/>
                <w:vanish w:val="false"/>
              </w:rPr>
              <w:tab/>
              <w:t>19</w:t>
            </w:r>
            <w:r>
              <w:rPr>
                <w:webHidden/>
              </w:rPr>
              <w:fldChar w:fldCharType="end"/>
            </w:r>
          </w:hyperlink>
        </w:p>
        <w:p>
          <w:pPr>
            <w:pStyle w:val="TOC3"/>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37">
            <w:r>
              <w:rPr>
                <w:rStyle w:val="IndexLink"/>
                <w:webHidden/>
              </w:rPr>
              <w:t>2.3.5 Integration within the Mobilair App and behavioural impact</w:t>
            </w:r>
            <w:r>
              <w:rPr>
                <w:webHidden/>
              </w:rPr>
              <w:fldChar w:fldCharType="begin"/>
            </w:r>
            <w:r>
              <w:rPr>
                <w:webHidden/>
              </w:rPr>
              <w:instrText xml:space="preserve">PAGEREF _Toc226020137 \h</w:instrText>
            </w:r>
            <w:r>
              <w:rPr>
                <w:webHidden/>
              </w:rPr>
              <w:fldChar w:fldCharType="separate"/>
            </w:r>
            <w:r>
              <w:rPr>
                <w:rStyle w:val="IndexLink"/>
                <w:vanish w:val="false"/>
              </w:rPr>
              <w:tab/>
              <w:t>20</w:t>
            </w:r>
            <w:r>
              <w:rPr>
                <w:webHidden/>
              </w:rPr>
              <w:fldChar w:fldCharType="end"/>
            </w:r>
          </w:hyperlink>
        </w:p>
        <w:p>
          <w:pPr>
            <w:pStyle w:val="TOC2"/>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38">
            <w:r>
              <w:rPr>
                <w:rStyle w:val="IndexLink"/>
                <w:webHidden/>
              </w:rPr>
              <w:t>2.4 Eco-Routing</w:t>
            </w:r>
            <w:r>
              <w:rPr>
                <w:webHidden/>
              </w:rPr>
              <w:fldChar w:fldCharType="begin"/>
            </w:r>
            <w:r>
              <w:rPr>
                <w:webHidden/>
              </w:rPr>
              <w:instrText xml:space="preserve">PAGEREF _Toc226020138 \h</w:instrText>
            </w:r>
            <w:r>
              <w:rPr>
                <w:webHidden/>
              </w:rPr>
              <w:fldChar w:fldCharType="separate"/>
            </w:r>
            <w:r>
              <w:rPr>
                <w:rStyle w:val="IndexLink"/>
                <w:vanish w:val="false"/>
              </w:rPr>
              <w:tab/>
              <w:t>20</w:t>
            </w:r>
            <w:r>
              <w:rPr>
                <w:webHidden/>
              </w:rPr>
              <w:fldChar w:fldCharType="end"/>
            </w:r>
          </w:hyperlink>
        </w:p>
        <w:p>
          <w:pPr>
            <w:pStyle w:val="TOC1"/>
            <w:tabs>
              <w:tab w:val="clear" w:pos="720"/>
              <w:tab w:val="right" w:pos="9350" w:leader="dot"/>
            </w:tabs>
            <w:rPr>
              <w:rFonts w:ascii="Aptos" w:hAnsi="Aptos" w:eastAsia="游明朝" w:cs="Arial" w:asciiTheme="minorHAnsi" w:cstheme="minorBidi" w:eastAsiaTheme="minorEastAsia" w:hAnsiTheme="minorHAnsi"/>
              <w:b w:val="false"/>
              <w:bCs w:val="false"/>
              <w:sz w:val="24"/>
              <w:szCs w:val="24"/>
              <w:lang w:val="en-US"/>
            </w:rPr>
          </w:pPr>
          <w:hyperlink w:anchor="_Toc226020139">
            <w:r>
              <w:rPr>
                <w:rStyle w:val="IndexLink"/>
                <w:webHidden/>
              </w:rPr>
              <w:t>3. AI Algorithms</w:t>
            </w:r>
            <w:r>
              <w:rPr>
                <w:webHidden/>
              </w:rPr>
              <w:fldChar w:fldCharType="begin"/>
            </w:r>
            <w:r>
              <w:rPr>
                <w:webHidden/>
              </w:rPr>
              <w:instrText xml:space="preserve">PAGEREF _Toc226020139 \h</w:instrText>
            </w:r>
            <w:r>
              <w:rPr>
                <w:webHidden/>
              </w:rPr>
              <w:fldChar w:fldCharType="separate"/>
            </w:r>
            <w:r>
              <w:rPr>
                <w:rStyle w:val="IndexLink"/>
                <w:vanish w:val="false"/>
              </w:rPr>
              <w:tab/>
              <w:t>29</w:t>
            </w:r>
            <w:r>
              <w:rPr>
                <w:webHidden/>
              </w:rPr>
              <w:fldChar w:fldCharType="end"/>
            </w:r>
          </w:hyperlink>
        </w:p>
        <w:p>
          <w:pPr>
            <w:pStyle w:val="TOC2"/>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40">
            <w:r>
              <w:rPr>
                <w:rStyle w:val="IndexLink"/>
                <w:webHidden/>
              </w:rPr>
              <w:t>3.1 Objective and solution architecture</w:t>
            </w:r>
            <w:r>
              <w:rPr>
                <w:webHidden/>
              </w:rPr>
              <w:fldChar w:fldCharType="begin"/>
            </w:r>
            <w:r>
              <w:rPr>
                <w:webHidden/>
              </w:rPr>
              <w:instrText xml:space="preserve">PAGEREF _Toc226020140 \h</w:instrText>
            </w:r>
            <w:r>
              <w:rPr>
                <w:webHidden/>
              </w:rPr>
              <w:fldChar w:fldCharType="separate"/>
            </w:r>
            <w:r>
              <w:rPr>
                <w:rStyle w:val="IndexLink"/>
                <w:vanish w:val="false"/>
              </w:rPr>
              <w:tab/>
              <w:t>29</w:t>
            </w:r>
            <w:r>
              <w:rPr>
                <w:webHidden/>
              </w:rPr>
              <w:fldChar w:fldCharType="end"/>
            </w:r>
          </w:hyperlink>
        </w:p>
        <w:p>
          <w:pPr>
            <w:pStyle w:val="TOC2"/>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41">
            <w:r>
              <w:rPr>
                <w:rStyle w:val="IndexLink"/>
                <w:webHidden/>
              </w:rPr>
              <w:t>3.2 Methodological Approach of AI nudging recommendation engine</w:t>
            </w:r>
            <w:r>
              <w:rPr>
                <w:webHidden/>
              </w:rPr>
              <w:fldChar w:fldCharType="begin"/>
            </w:r>
            <w:r>
              <w:rPr>
                <w:webHidden/>
              </w:rPr>
              <w:instrText xml:space="preserve">PAGEREF _Toc226020141 \h</w:instrText>
            </w:r>
            <w:r>
              <w:rPr>
                <w:webHidden/>
              </w:rPr>
              <w:fldChar w:fldCharType="separate"/>
            </w:r>
            <w:r>
              <w:rPr>
                <w:rStyle w:val="IndexLink"/>
                <w:vanish w:val="false"/>
              </w:rPr>
              <w:tab/>
              <w:t>32</w:t>
            </w:r>
            <w:r>
              <w:rPr>
                <w:webHidden/>
              </w:rPr>
              <w:fldChar w:fldCharType="end"/>
            </w:r>
          </w:hyperlink>
        </w:p>
        <w:p>
          <w:pPr>
            <w:pStyle w:val="TOC1"/>
            <w:tabs>
              <w:tab w:val="clear" w:pos="720"/>
              <w:tab w:val="right" w:pos="9350" w:leader="dot"/>
            </w:tabs>
            <w:rPr>
              <w:rFonts w:ascii="Aptos" w:hAnsi="Aptos" w:eastAsia="游明朝" w:cs="Arial" w:asciiTheme="minorHAnsi" w:cstheme="minorBidi" w:eastAsiaTheme="minorEastAsia" w:hAnsiTheme="minorHAnsi"/>
              <w:b w:val="false"/>
              <w:bCs w:val="false"/>
              <w:sz w:val="24"/>
              <w:szCs w:val="24"/>
              <w:lang w:val="en-US"/>
            </w:rPr>
          </w:pPr>
          <w:hyperlink w:anchor="_Toc226020142">
            <w:r>
              <w:rPr>
                <w:rStyle w:val="IndexLink"/>
                <w:webHidden/>
              </w:rPr>
              <w:t>4. Mobile Application (R2.5.2)</w:t>
            </w:r>
            <w:r>
              <w:rPr>
                <w:webHidden/>
              </w:rPr>
              <w:fldChar w:fldCharType="begin"/>
            </w:r>
            <w:r>
              <w:rPr>
                <w:webHidden/>
              </w:rPr>
              <w:instrText xml:space="preserve">PAGEREF _Toc226020142 \h</w:instrText>
            </w:r>
            <w:r>
              <w:rPr>
                <w:webHidden/>
              </w:rPr>
              <w:fldChar w:fldCharType="separate"/>
            </w:r>
            <w:r>
              <w:rPr>
                <w:rStyle w:val="IndexLink"/>
                <w:vanish w:val="false"/>
              </w:rPr>
              <w:tab/>
              <w:t>36</w:t>
            </w:r>
            <w:r>
              <w:rPr>
                <w:webHidden/>
              </w:rPr>
              <w:fldChar w:fldCharType="end"/>
            </w:r>
          </w:hyperlink>
        </w:p>
        <w:p>
          <w:pPr>
            <w:pStyle w:val="TOC2"/>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43">
            <w:r>
              <w:rPr>
                <w:rStyle w:val="IndexLink"/>
                <w:webHidden/>
              </w:rPr>
              <w:t>4.1 Application Overview</w:t>
            </w:r>
            <w:r>
              <w:rPr>
                <w:webHidden/>
              </w:rPr>
              <w:fldChar w:fldCharType="begin"/>
            </w:r>
            <w:r>
              <w:rPr>
                <w:webHidden/>
              </w:rPr>
              <w:instrText xml:space="preserve">PAGEREF _Toc226020143 \h</w:instrText>
            </w:r>
            <w:r>
              <w:rPr>
                <w:webHidden/>
              </w:rPr>
              <w:fldChar w:fldCharType="separate"/>
            </w:r>
            <w:r>
              <w:rPr>
                <w:rStyle w:val="IndexLink"/>
                <w:vanish w:val="false"/>
              </w:rPr>
              <w:tab/>
              <w:t>36</w:t>
            </w:r>
            <w:r>
              <w:rPr>
                <w:webHidden/>
              </w:rPr>
              <w:fldChar w:fldCharType="end"/>
            </w:r>
          </w:hyperlink>
        </w:p>
        <w:p>
          <w:pPr>
            <w:pStyle w:val="TOC2"/>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44">
            <w:r>
              <w:rPr>
                <w:rStyle w:val="IndexLink"/>
                <w:webHidden/>
              </w:rPr>
              <w:t>4.2 Application Features &amp; Screenshots</w:t>
            </w:r>
            <w:r>
              <w:rPr>
                <w:webHidden/>
              </w:rPr>
              <w:fldChar w:fldCharType="begin"/>
            </w:r>
            <w:r>
              <w:rPr>
                <w:webHidden/>
              </w:rPr>
              <w:instrText xml:space="preserve">PAGEREF _Toc226020144 \h</w:instrText>
            </w:r>
            <w:r>
              <w:rPr>
                <w:webHidden/>
              </w:rPr>
              <w:fldChar w:fldCharType="separate"/>
            </w:r>
            <w:r>
              <w:rPr>
                <w:rStyle w:val="IndexLink"/>
                <w:vanish w:val="false"/>
              </w:rPr>
              <w:tab/>
              <w:t>37</w:t>
            </w:r>
            <w:r>
              <w:rPr>
                <w:webHidden/>
              </w:rPr>
              <w:fldChar w:fldCharType="end"/>
            </w:r>
          </w:hyperlink>
        </w:p>
        <w:p>
          <w:pPr>
            <w:pStyle w:val="TOC3"/>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45">
            <w:r>
              <w:rPr>
                <w:rStyle w:val="IndexLink"/>
                <w:webHidden/>
              </w:rPr>
              <w:t>User authentication</w:t>
            </w:r>
            <w:r>
              <w:rPr>
                <w:webHidden/>
              </w:rPr>
              <w:fldChar w:fldCharType="begin"/>
            </w:r>
            <w:r>
              <w:rPr>
                <w:webHidden/>
              </w:rPr>
              <w:instrText xml:space="preserve">PAGEREF _Toc226020145 \h</w:instrText>
            </w:r>
            <w:r>
              <w:rPr>
                <w:webHidden/>
              </w:rPr>
              <w:fldChar w:fldCharType="separate"/>
            </w:r>
            <w:r>
              <w:rPr>
                <w:rStyle w:val="IndexLink"/>
                <w:vanish w:val="false"/>
              </w:rPr>
              <w:tab/>
              <w:t>37</w:t>
            </w:r>
            <w:r>
              <w:rPr>
                <w:webHidden/>
              </w:rPr>
              <w:fldChar w:fldCharType="end"/>
            </w:r>
          </w:hyperlink>
        </w:p>
        <w:p>
          <w:pPr>
            <w:pStyle w:val="TOC3"/>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46">
            <w:r>
              <w:rPr>
                <w:rStyle w:val="IndexLink"/>
                <w:webHidden/>
              </w:rPr>
              <w:t>On-boarding survey</w:t>
            </w:r>
            <w:r>
              <w:rPr>
                <w:webHidden/>
              </w:rPr>
              <w:fldChar w:fldCharType="begin"/>
            </w:r>
            <w:r>
              <w:rPr>
                <w:webHidden/>
              </w:rPr>
              <w:instrText xml:space="preserve">PAGEREF _Toc226020146 \h</w:instrText>
            </w:r>
            <w:r>
              <w:rPr>
                <w:webHidden/>
              </w:rPr>
              <w:fldChar w:fldCharType="separate"/>
            </w:r>
            <w:r>
              <w:rPr>
                <w:rStyle w:val="IndexLink"/>
                <w:vanish w:val="false"/>
              </w:rPr>
              <w:tab/>
              <w:t>37</w:t>
            </w:r>
            <w:r>
              <w:rPr>
                <w:webHidden/>
              </w:rPr>
              <w:fldChar w:fldCharType="end"/>
            </w:r>
          </w:hyperlink>
        </w:p>
        <w:p>
          <w:pPr>
            <w:pStyle w:val="TOC3"/>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47">
            <w:r>
              <w:rPr>
                <w:rStyle w:val="IndexLink"/>
                <w:webHidden/>
              </w:rPr>
              <w:t>Air Quality</w:t>
            </w:r>
            <w:r>
              <w:rPr>
                <w:webHidden/>
              </w:rPr>
              <w:fldChar w:fldCharType="begin"/>
            </w:r>
            <w:r>
              <w:rPr>
                <w:webHidden/>
              </w:rPr>
              <w:instrText xml:space="preserve">PAGEREF _Toc226020147 \h</w:instrText>
            </w:r>
            <w:r>
              <w:rPr>
                <w:webHidden/>
              </w:rPr>
              <w:fldChar w:fldCharType="separate"/>
            </w:r>
            <w:r>
              <w:rPr>
                <w:rStyle w:val="IndexLink"/>
                <w:vanish w:val="false"/>
              </w:rPr>
              <w:tab/>
              <w:t>37</w:t>
            </w:r>
            <w:r>
              <w:rPr>
                <w:webHidden/>
              </w:rPr>
              <w:fldChar w:fldCharType="end"/>
            </w:r>
          </w:hyperlink>
        </w:p>
        <w:p>
          <w:pPr>
            <w:pStyle w:val="TOC3"/>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48">
            <w:r>
              <w:rPr>
                <w:rStyle w:val="IndexLink"/>
                <w:webHidden/>
              </w:rPr>
              <w:t>Eco-routing</w:t>
            </w:r>
            <w:r>
              <w:rPr>
                <w:webHidden/>
              </w:rPr>
              <w:fldChar w:fldCharType="begin"/>
            </w:r>
            <w:r>
              <w:rPr>
                <w:webHidden/>
              </w:rPr>
              <w:instrText xml:space="preserve">PAGEREF _Toc226020148 \h</w:instrText>
            </w:r>
            <w:r>
              <w:rPr>
                <w:webHidden/>
              </w:rPr>
              <w:fldChar w:fldCharType="separate"/>
            </w:r>
            <w:r>
              <w:rPr>
                <w:rStyle w:val="IndexLink"/>
                <w:vanish w:val="false"/>
              </w:rPr>
              <w:tab/>
              <w:t>37</w:t>
            </w:r>
            <w:r>
              <w:rPr>
                <w:webHidden/>
              </w:rPr>
              <w:fldChar w:fldCharType="end"/>
            </w:r>
          </w:hyperlink>
        </w:p>
        <w:p>
          <w:pPr>
            <w:pStyle w:val="TOC3"/>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49">
            <w:r>
              <w:rPr>
                <w:rStyle w:val="IndexLink"/>
                <w:webHidden/>
              </w:rPr>
              <w:t>Level progress, eco-coins and gifts</w:t>
            </w:r>
            <w:r>
              <w:rPr>
                <w:webHidden/>
              </w:rPr>
              <w:fldChar w:fldCharType="begin"/>
            </w:r>
            <w:r>
              <w:rPr>
                <w:webHidden/>
              </w:rPr>
              <w:instrText xml:space="preserve">PAGEREF _Toc226020149 \h</w:instrText>
            </w:r>
            <w:r>
              <w:rPr>
                <w:webHidden/>
              </w:rPr>
              <w:fldChar w:fldCharType="separate"/>
            </w:r>
            <w:r>
              <w:rPr>
                <w:rStyle w:val="IndexLink"/>
                <w:vanish w:val="false"/>
              </w:rPr>
              <w:tab/>
              <w:t>37</w:t>
            </w:r>
            <w:r>
              <w:rPr>
                <w:webHidden/>
              </w:rPr>
              <w:fldChar w:fldCharType="end"/>
            </w:r>
          </w:hyperlink>
        </w:p>
        <w:p>
          <w:pPr>
            <w:pStyle w:val="TOC3"/>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50">
            <w:r>
              <w:rPr>
                <w:rStyle w:val="IndexLink"/>
                <w:webHidden/>
              </w:rPr>
              <w:t>Gift redemption</w:t>
            </w:r>
            <w:r>
              <w:rPr>
                <w:webHidden/>
              </w:rPr>
              <w:fldChar w:fldCharType="begin"/>
            </w:r>
            <w:r>
              <w:rPr>
                <w:webHidden/>
              </w:rPr>
              <w:instrText xml:space="preserve">PAGEREF _Toc226020150 \h</w:instrText>
            </w:r>
            <w:r>
              <w:rPr>
                <w:webHidden/>
              </w:rPr>
              <w:fldChar w:fldCharType="separate"/>
            </w:r>
            <w:r>
              <w:rPr>
                <w:rStyle w:val="IndexLink"/>
                <w:vanish w:val="false"/>
              </w:rPr>
              <w:tab/>
              <w:t>37</w:t>
            </w:r>
            <w:r>
              <w:rPr>
                <w:webHidden/>
              </w:rPr>
              <w:fldChar w:fldCharType="end"/>
            </w:r>
          </w:hyperlink>
        </w:p>
        <w:p>
          <w:pPr>
            <w:pStyle w:val="TOC3"/>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51">
            <w:r>
              <w:rPr>
                <w:rStyle w:val="IndexLink"/>
                <w:webHidden/>
              </w:rPr>
              <w:t>Quizzes and Surveys</w:t>
            </w:r>
            <w:r>
              <w:rPr>
                <w:webHidden/>
              </w:rPr>
              <w:fldChar w:fldCharType="begin"/>
            </w:r>
            <w:r>
              <w:rPr>
                <w:webHidden/>
              </w:rPr>
              <w:instrText xml:space="preserve">PAGEREF _Toc226020151 \h</w:instrText>
            </w:r>
            <w:r>
              <w:rPr>
                <w:webHidden/>
              </w:rPr>
              <w:fldChar w:fldCharType="separate"/>
            </w:r>
            <w:r>
              <w:rPr>
                <w:rStyle w:val="IndexLink"/>
                <w:vanish w:val="false"/>
              </w:rPr>
              <w:tab/>
              <w:t>38</w:t>
            </w:r>
            <w:r>
              <w:rPr>
                <w:webHidden/>
              </w:rPr>
              <w:fldChar w:fldCharType="end"/>
            </w:r>
          </w:hyperlink>
        </w:p>
        <w:p>
          <w:pPr>
            <w:pStyle w:val="TOC1"/>
            <w:tabs>
              <w:tab w:val="clear" w:pos="720"/>
              <w:tab w:val="right" w:pos="9350" w:leader="dot"/>
            </w:tabs>
            <w:rPr>
              <w:rFonts w:ascii="Aptos" w:hAnsi="Aptos" w:eastAsia="游明朝" w:cs="Arial" w:asciiTheme="minorHAnsi" w:cstheme="minorBidi" w:eastAsiaTheme="minorEastAsia" w:hAnsiTheme="minorHAnsi"/>
              <w:b w:val="false"/>
              <w:bCs w:val="false"/>
              <w:sz w:val="24"/>
              <w:szCs w:val="24"/>
              <w:lang w:val="en-US"/>
            </w:rPr>
          </w:pPr>
          <w:hyperlink w:anchor="_Toc226020152">
            <w:r>
              <w:rPr>
                <w:rStyle w:val="IndexLink"/>
                <w:webHidden/>
              </w:rPr>
              <w:t>References</w:t>
            </w:r>
            <w:r>
              <w:rPr>
                <w:webHidden/>
              </w:rPr>
              <w:fldChar w:fldCharType="begin"/>
            </w:r>
            <w:r>
              <w:rPr>
                <w:webHidden/>
              </w:rPr>
              <w:instrText xml:space="preserve">PAGEREF _Toc226020152 \h</w:instrText>
            </w:r>
            <w:r>
              <w:rPr>
                <w:webHidden/>
              </w:rPr>
              <w:fldChar w:fldCharType="separate"/>
            </w:r>
            <w:r>
              <w:rPr>
                <w:rStyle w:val="IndexLink"/>
                <w:vanish w:val="false"/>
              </w:rPr>
              <w:tab/>
              <w:t>39</w:t>
            </w:r>
            <w:r>
              <w:rPr>
                <w:webHidden/>
              </w:rPr>
              <w:fldChar w:fldCharType="end"/>
            </w:r>
          </w:hyperlink>
        </w:p>
        <w:p>
          <w:pPr>
            <w:pStyle w:val="TOC1"/>
            <w:tabs>
              <w:tab w:val="clear" w:pos="720"/>
              <w:tab w:val="right" w:pos="9345" w:leader="dot"/>
            </w:tabs>
            <w:rPr>
              <w:color w:themeColor="hyperlink" w:val="467886"/>
              <w:u w:val="single"/>
            </w:rPr>
          </w:pPr>
          <w:r>
            <w:rPr>
              <w:color w:themeColor="hyperlink" w:val="467886"/>
              <w:u w:val="single"/>
            </w:rPr>
          </w:r>
          <w:r>
            <w:rPr>
              <w:color w:themeColor="hyperlink" w:val="467886"/>
              <w:u w:val="single"/>
            </w:rPr>
            <w:fldChar w:fldCharType="end"/>
          </w:r>
        </w:p>
      </w:sdtContent>
    </w:sdt>
    <w:p>
      <w:pPr>
        <w:pStyle w:val="Normal"/>
        <w:rPr/>
      </w:pPr>
      <w:r>
        <w:rPr>
          <w:rFonts w:eastAsia="游ゴシック Light" w:cs="Times New Roman" w:ascii="Aptos Display" w:hAnsi="Aptos Display" w:asciiTheme="majorHAnsi" w:cstheme="majorBidi" w:eastAsiaTheme="majorEastAsia" w:hAnsiTheme="majorHAnsi"/>
          <w:b/>
          <w:bCs/>
          <w:color w:themeColor="accent1" w:themeShade="bf" w:val="0F4761"/>
          <w:kern w:val="0"/>
          <w:sz w:val="28"/>
          <w:szCs w:val="28"/>
          <w14:ligatures w14:val="none"/>
        </w:rPr>
        <w:t>List of Tables</w:t>
      </w:r>
    </w:p>
    <w:p>
      <w:pPr>
        <w:pStyle w:val="TableofFigures"/>
        <w:tabs>
          <w:tab w:val="clear" w:pos="720"/>
          <w:tab w:val="right" w:pos="9350" w:leader="dot"/>
        </w:tabs>
        <w:rPr>
          <w:rFonts w:ascii="Aptos" w:hAnsi="Aptos" w:eastAsia="游明朝" w:cs="Arial" w:asciiTheme="minorHAnsi" w:cstheme="minorBidi" w:eastAsiaTheme="minorEastAsia" w:hAnsiTheme="minorHAnsi"/>
          <w:sz w:val="24"/>
          <w:szCs w:val="24"/>
          <w:lang w:val="en-US"/>
        </w:rPr>
      </w:pPr>
      <w:r>
        <w:fldChar w:fldCharType="begin"/>
      </w:r>
      <w:r>
        <w:rPr>
          <w:rStyle w:val="IndexLink"/>
        </w:rPr>
        <w:instrText xml:space="preserve"> TOC \c "Table" \h </w:instrText>
      </w:r>
      <w:r>
        <w:rPr>
          <w:rStyle w:val="IndexLink"/>
        </w:rPr>
        <w:fldChar w:fldCharType="separate"/>
      </w:r>
      <w:hyperlink w:anchor="_Toc226020116">
        <w:r>
          <w:rPr>
            <w:rStyle w:val="IndexLink"/>
          </w:rPr>
          <w:t>Table 1: Overview of Data Sources Integrated in the MOBILAIR Platform</w:t>
        </w:r>
        <w:r>
          <w:rPr>
            <w:webHidden/>
          </w:rPr>
          <w:fldChar w:fldCharType="begin"/>
        </w:r>
        <w:r>
          <w:rPr>
            <w:webHidden/>
          </w:rPr>
          <w:instrText xml:space="preserve">PAGEREF _Toc226020116 \h</w:instrText>
        </w:r>
        <w:r>
          <w:rPr>
            <w:webHidden/>
          </w:rPr>
          <w:fldChar w:fldCharType="separate"/>
        </w:r>
        <w:r>
          <w:rPr>
            <w:rStyle w:val="IndexLink"/>
            <w:vanish w:val="false"/>
          </w:rPr>
          <w:tab/>
          <w:t>10</w:t>
        </w:r>
        <w:r>
          <w:rPr>
            <w:webHidden/>
          </w:rPr>
          <w:fldChar w:fldCharType="end"/>
        </w:r>
      </w:hyperlink>
    </w:p>
    <w:p>
      <w:pPr>
        <w:pStyle w:val="TableofFigures"/>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17">
        <w:r>
          <w:rPr>
            <w:rStyle w:val="IndexLink"/>
          </w:rPr>
          <w:t>Table 2 Full set of level- titles</w:t>
        </w:r>
        <w:r>
          <w:rPr>
            <w:webHidden/>
          </w:rPr>
          <w:fldChar w:fldCharType="begin"/>
        </w:r>
        <w:r>
          <w:rPr>
            <w:webHidden/>
          </w:rPr>
          <w:instrText xml:space="preserve">PAGEREF _Toc226020117 \h</w:instrText>
        </w:r>
        <w:r>
          <w:rPr>
            <w:webHidden/>
          </w:rPr>
          <w:fldChar w:fldCharType="separate"/>
        </w:r>
        <w:r>
          <w:rPr>
            <w:rStyle w:val="IndexLink"/>
            <w:vanish w:val="false"/>
          </w:rPr>
          <w:tab/>
          <w:t>16</w:t>
        </w:r>
        <w:r>
          <w:rPr>
            <w:webHidden/>
          </w:rPr>
          <w:fldChar w:fldCharType="end"/>
        </w:r>
      </w:hyperlink>
    </w:p>
    <w:p>
      <w:pPr>
        <w:pStyle w:val="TableofFigures"/>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18">
        <w:r>
          <w:rPr>
            <w:rStyle w:val="IndexLink"/>
          </w:rPr>
          <w:t>Table 3 Summary of 10 survey modules and their respective engagement objectives</w:t>
        </w:r>
        <w:r>
          <w:rPr>
            <w:webHidden/>
          </w:rPr>
          <w:fldChar w:fldCharType="begin"/>
        </w:r>
        <w:r>
          <w:rPr>
            <w:webHidden/>
          </w:rPr>
          <w:instrText xml:space="preserve">PAGEREF _Toc226020118 \h</w:instrText>
        </w:r>
        <w:r>
          <w:rPr>
            <w:webHidden/>
          </w:rPr>
          <w:fldChar w:fldCharType="separate"/>
        </w:r>
        <w:r>
          <w:rPr>
            <w:rStyle w:val="IndexLink"/>
            <w:vanish w:val="false"/>
          </w:rPr>
          <w:tab/>
          <w:t>19</w:t>
        </w:r>
        <w:r>
          <w:rPr>
            <w:webHidden/>
          </w:rPr>
          <w:fldChar w:fldCharType="end"/>
        </w:r>
      </w:hyperlink>
    </w:p>
    <w:p>
      <w:pPr>
        <w:pStyle w:val="TableofFigures"/>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19">
        <w:r>
          <w:rPr>
            <w:rStyle w:val="IndexLink"/>
          </w:rPr>
          <w:t>Table 4: example trip plan XXX</w:t>
        </w:r>
        <w:r>
          <w:rPr>
            <w:webHidden/>
          </w:rPr>
          <w:fldChar w:fldCharType="begin"/>
        </w:r>
        <w:r>
          <w:rPr>
            <w:webHidden/>
          </w:rPr>
          <w:instrText xml:space="preserve">PAGEREF _Toc226020119 \h</w:instrText>
        </w:r>
        <w:r>
          <w:rPr>
            <w:webHidden/>
          </w:rPr>
          <w:fldChar w:fldCharType="separate"/>
        </w:r>
        <w:r>
          <w:rPr>
            <w:rStyle w:val="IndexLink"/>
            <w:vanish w:val="false"/>
          </w:rPr>
          <w:tab/>
          <w:t>33</w:t>
        </w:r>
        <w:r>
          <w:rPr>
            <w:webHidden/>
          </w:rPr>
          <w:fldChar w:fldCharType="end"/>
        </w:r>
      </w:hyperlink>
      <w:r>
        <w:rPr>
          <w:rStyle w:val="IndexLink"/>
          <w:vanish w:val="false"/>
        </w:rPr>
        <w:fldChar w:fldCharType="end"/>
      </w:r>
    </w:p>
    <w:p>
      <w:pPr>
        <w:pStyle w:val="Normal"/>
        <w:rPr/>
      </w:pPr>
      <w:r>
        <w:rPr/>
      </w:r>
    </w:p>
    <w:p>
      <w:pPr>
        <w:pStyle w:val="Normal"/>
        <w:rPr>
          <w:rFonts w:ascii="Aptos Display" w:hAnsi="Aptos Display" w:eastAsia="游ゴシック Light" w:cs="Times New Roman" w:asciiTheme="majorHAnsi" w:cstheme="majorBidi" w:eastAsiaTheme="majorEastAsia" w:hAnsiTheme="majorHAnsi"/>
          <w:b/>
          <w:bCs/>
          <w:color w:themeColor="accent1" w:themeShade="bf" w:val="0F4761"/>
          <w:kern w:val="0"/>
          <w:sz w:val="28"/>
          <w:szCs w:val="28"/>
          <w14:ligatures w14:val="none"/>
        </w:rPr>
      </w:pPr>
      <w:r>
        <w:rPr>
          <w:rFonts w:eastAsia="游ゴシック Light" w:cs="Times New Roman" w:ascii="Aptos Display" w:hAnsi="Aptos Display" w:asciiTheme="majorHAnsi" w:cstheme="majorBidi" w:eastAsiaTheme="majorEastAsia" w:hAnsiTheme="majorHAnsi"/>
          <w:b/>
          <w:bCs/>
          <w:color w:themeColor="accent1" w:themeShade="bf" w:val="0F4761"/>
          <w:kern w:val="0"/>
          <w:sz w:val="28"/>
          <w:szCs w:val="28"/>
          <w14:ligatures w14:val="none"/>
        </w:rPr>
        <w:t xml:space="preserve">List of Figures </w:t>
      </w:r>
    </w:p>
    <w:p>
      <w:pPr>
        <w:pStyle w:val="TableofFigures"/>
        <w:tabs>
          <w:tab w:val="clear" w:pos="720"/>
          <w:tab w:val="right" w:pos="9350" w:leader="dot"/>
        </w:tabs>
        <w:rPr>
          <w:rFonts w:ascii="Aptos" w:hAnsi="Aptos" w:eastAsia="游明朝" w:cs="Arial" w:asciiTheme="minorHAnsi" w:cstheme="minorBidi" w:eastAsiaTheme="minorEastAsia" w:hAnsiTheme="minorHAnsi"/>
          <w:sz w:val="24"/>
          <w:szCs w:val="24"/>
          <w:lang w:val="en-US"/>
        </w:rPr>
      </w:pPr>
      <w:r>
        <w:fldChar w:fldCharType="begin"/>
      </w:r>
      <w:r>
        <w:rPr>
          <w:rStyle w:val="IndexLink"/>
        </w:rPr>
        <w:instrText xml:space="preserve"> TOC \c "Figure" \h </w:instrText>
      </w:r>
      <w:r>
        <w:rPr>
          <w:rStyle w:val="IndexLink"/>
        </w:rPr>
        <w:fldChar w:fldCharType="separate"/>
      </w:r>
      <w:hyperlink w:anchor="_Toc226020109">
        <w:r>
          <w:rPr>
            <w:rStyle w:val="IndexLink"/>
          </w:rPr>
          <w:t>Figure 1 How the Digital Facilitators may transform user Mobility behaviour, Urban Mobility measures and social engineering</w:t>
        </w:r>
        <w:r>
          <w:rPr>
            <w:webHidden/>
          </w:rPr>
          <w:fldChar w:fldCharType="begin"/>
        </w:r>
        <w:r>
          <w:rPr>
            <w:webHidden/>
          </w:rPr>
          <w:instrText xml:space="preserve">PAGEREF _Toc226020109 \h</w:instrText>
        </w:r>
        <w:r>
          <w:rPr>
            <w:webHidden/>
          </w:rPr>
          <w:fldChar w:fldCharType="separate"/>
        </w:r>
        <w:r>
          <w:rPr>
            <w:rStyle w:val="IndexLink"/>
            <w:vanish w:val="false"/>
          </w:rPr>
          <w:tab/>
          <w:t>12</w:t>
        </w:r>
        <w:r>
          <w:rPr>
            <w:webHidden/>
          </w:rPr>
          <w:fldChar w:fldCharType="end"/>
        </w:r>
      </w:hyperlink>
    </w:p>
    <w:p>
      <w:pPr>
        <w:pStyle w:val="TableofFigures"/>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10">
        <w:r>
          <w:rPr>
            <w:rStyle w:val="IndexLink"/>
          </w:rPr>
          <w:t>Figure 2 Weather and Air Quality real time data</w:t>
        </w:r>
        <w:r>
          <w:rPr>
            <w:webHidden/>
          </w:rPr>
          <w:fldChar w:fldCharType="begin"/>
        </w:r>
        <w:r>
          <w:rPr>
            <w:webHidden/>
          </w:rPr>
          <w:instrText xml:space="preserve">PAGEREF _Toc226020110 \h</w:instrText>
        </w:r>
        <w:r>
          <w:rPr>
            <w:webHidden/>
          </w:rPr>
          <w:fldChar w:fldCharType="separate"/>
        </w:r>
        <w:r>
          <w:rPr>
            <w:rStyle w:val="IndexLink"/>
            <w:vanish w:val="false"/>
          </w:rPr>
          <w:tab/>
          <w:t>14</w:t>
        </w:r>
        <w:r>
          <w:rPr>
            <w:webHidden/>
          </w:rPr>
          <w:fldChar w:fldCharType="end"/>
        </w:r>
      </w:hyperlink>
    </w:p>
    <w:p>
      <w:pPr>
        <w:pStyle w:val="TableofFigures"/>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11">
        <w:r>
          <w:rPr>
            <w:rStyle w:val="IndexLink"/>
          </w:rPr>
          <w:t>Figure 3 Public Transport routing visualisation</w:t>
        </w:r>
        <w:r>
          <w:rPr>
            <w:webHidden/>
          </w:rPr>
          <w:fldChar w:fldCharType="begin"/>
        </w:r>
        <w:r>
          <w:rPr>
            <w:webHidden/>
          </w:rPr>
          <w:instrText xml:space="preserve">PAGEREF _Toc226020111 \h</w:instrText>
        </w:r>
        <w:r>
          <w:rPr>
            <w:webHidden/>
          </w:rPr>
          <w:fldChar w:fldCharType="separate"/>
        </w:r>
        <w:r>
          <w:rPr>
            <w:rStyle w:val="IndexLink"/>
            <w:vanish w:val="false"/>
          </w:rPr>
          <w:tab/>
          <w:t>15</w:t>
        </w:r>
        <w:r>
          <w:rPr>
            <w:webHidden/>
          </w:rPr>
          <w:fldChar w:fldCharType="end"/>
        </w:r>
      </w:hyperlink>
    </w:p>
    <w:p>
      <w:pPr>
        <w:pStyle w:val="TableofFigures"/>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12">
        <w:r>
          <w:rPr>
            <w:rStyle w:val="IndexLink"/>
          </w:rPr>
          <w:t>Figure 4 Figure of alternative solution types</w:t>
        </w:r>
        <w:r>
          <w:rPr>
            <w:webHidden/>
          </w:rPr>
          <w:fldChar w:fldCharType="begin"/>
        </w:r>
        <w:r>
          <w:rPr>
            <w:webHidden/>
          </w:rPr>
          <w:instrText xml:space="preserve">PAGEREF _Toc226020112 \h</w:instrText>
        </w:r>
        <w:r>
          <w:rPr>
            <w:webHidden/>
          </w:rPr>
          <w:fldChar w:fldCharType="separate"/>
        </w:r>
        <w:r>
          <w:rPr>
            <w:rStyle w:val="IndexLink"/>
            <w:vanish w:val="false"/>
          </w:rPr>
          <w:tab/>
          <w:t>21</w:t>
        </w:r>
        <w:r>
          <w:rPr>
            <w:webHidden/>
          </w:rPr>
          <w:fldChar w:fldCharType="end"/>
        </w:r>
      </w:hyperlink>
    </w:p>
    <w:p>
      <w:pPr>
        <w:pStyle w:val="TableofFigures"/>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13">
        <w:r>
          <w:rPr>
            <w:rStyle w:val="IndexLink"/>
            <w:rFonts w:eastAsia="Aptos" w:cs="Times New Roman" w:ascii="Aptos" w:hAnsi="Aptos"/>
            <w:iCs/>
            <w:kern w:val="0"/>
            <w14:ligatures w14:val="none"/>
          </w:rPr>
          <w:t>Figure 5: Multimodal Trip Planner internal testbed</w:t>
        </w:r>
        <w:r>
          <w:rPr>
            <w:webHidden/>
          </w:rPr>
          <w:fldChar w:fldCharType="begin"/>
        </w:r>
        <w:r>
          <w:rPr>
            <w:webHidden/>
          </w:rPr>
          <w:instrText xml:space="preserve">PAGEREF _Toc226020113 \h</w:instrText>
        </w:r>
        <w:r>
          <w:rPr>
            <w:webHidden/>
          </w:rPr>
          <w:fldChar w:fldCharType="separate"/>
        </w:r>
        <w:r>
          <w:rPr>
            <w:rStyle w:val="IndexLink"/>
            <w:vanish w:val="false"/>
          </w:rPr>
          <w:tab/>
          <w:t>26</w:t>
        </w:r>
        <w:r>
          <w:rPr>
            <w:webHidden/>
          </w:rPr>
          <w:fldChar w:fldCharType="end"/>
        </w:r>
      </w:hyperlink>
    </w:p>
    <w:p>
      <w:pPr>
        <w:pStyle w:val="TableofFigures"/>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14">
        <w:r>
          <w:rPr>
            <w:rStyle w:val="IndexLink"/>
          </w:rPr>
          <w:t>Figure 6</w:t>
        </w:r>
        <w:r>
          <w:rPr>
            <w:webHidden/>
          </w:rPr>
          <w:fldChar w:fldCharType="begin"/>
        </w:r>
        <w:r>
          <w:rPr>
            <w:webHidden/>
          </w:rPr>
          <w:instrText xml:space="preserve">PAGEREF _Toc226020114 \h</w:instrText>
        </w:r>
        <w:r>
          <w:rPr>
            <w:webHidden/>
          </w:rPr>
          <w:fldChar w:fldCharType="separate"/>
        </w:r>
        <w:r>
          <w:rPr>
            <w:rStyle w:val="IndexLink"/>
            <w:vanish w:val="false"/>
          </w:rPr>
          <w:tab/>
          <w:t>30</w:t>
        </w:r>
        <w:r>
          <w:rPr>
            <w:webHidden/>
          </w:rPr>
          <w:fldChar w:fldCharType="end"/>
        </w:r>
      </w:hyperlink>
    </w:p>
    <w:p>
      <w:pPr>
        <w:pStyle w:val="TableofFigures"/>
        <w:tabs>
          <w:tab w:val="clear" w:pos="720"/>
          <w:tab w:val="right" w:pos="9350" w:leader="dot"/>
        </w:tabs>
        <w:rPr>
          <w:rFonts w:ascii="Aptos" w:hAnsi="Aptos" w:eastAsia="游明朝" w:cs="Arial" w:asciiTheme="minorHAnsi" w:cstheme="minorBidi" w:eastAsiaTheme="minorEastAsia" w:hAnsiTheme="minorHAnsi"/>
          <w:sz w:val="24"/>
          <w:szCs w:val="24"/>
          <w:lang w:val="en-US"/>
        </w:rPr>
      </w:pPr>
      <w:hyperlink w:anchor="_Toc226020115">
        <w:r>
          <w:rPr>
            <w:rStyle w:val="IndexLink"/>
          </w:rPr>
          <w:t>Figure 7 From left to right: (i) Example of on-boarding survey question, (ii) Air quality screen, (iii) Eco routing example, (iv) Level and points screen, (v) Quiz and surveys screen, (vi) Quiz example, (vii) Survey example, (viii) What-if question example (nudging)</w:t>
        </w:r>
        <w:r>
          <w:rPr>
            <w:webHidden/>
          </w:rPr>
          <w:fldChar w:fldCharType="begin"/>
        </w:r>
        <w:r>
          <w:rPr>
            <w:webHidden/>
          </w:rPr>
          <w:instrText xml:space="preserve">PAGEREF _Toc226020115 \h</w:instrText>
        </w:r>
        <w:r>
          <w:rPr>
            <w:webHidden/>
          </w:rPr>
          <w:fldChar w:fldCharType="separate"/>
        </w:r>
        <w:r>
          <w:rPr>
            <w:rStyle w:val="IndexLink"/>
            <w:vanish w:val="false"/>
          </w:rPr>
          <w:tab/>
          <w:t>38</w:t>
        </w:r>
        <w:r>
          <w:rPr>
            <w:webHidden/>
          </w:rPr>
          <w:fldChar w:fldCharType="end"/>
        </w:r>
      </w:hyperlink>
      <w:r>
        <w:rPr>
          <w:rStyle w:val="IndexLink"/>
          <w:vanish w:val="false"/>
        </w:rPr>
        <w:fldChar w:fldCharType="end"/>
      </w:r>
    </w:p>
    <w:p>
      <w:pPr>
        <w:pStyle w:val="Normal"/>
        <w:rPr/>
      </w:pPr>
      <w:r>
        <w:rPr/>
      </w:r>
    </w:p>
    <w:p>
      <w:pPr>
        <w:pStyle w:val="Normal"/>
        <w:rPr/>
      </w:pPr>
      <w:r>
        <w:rPr/>
      </w:r>
    </w:p>
    <w:p>
      <w:pPr>
        <w:pStyle w:val="Normal"/>
        <w:rPr/>
      </w:pPr>
      <w:r>
        <w:rPr/>
      </w:r>
    </w:p>
    <w:p>
      <w:pPr>
        <w:pStyle w:val="Normal"/>
        <w:spacing w:before="0" w:after="160"/>
        <w:jc w:val="start"/>
        <w:rPr/>
      </w:pPr>
      <w:r>
        <w:rPr/>
      </w:r>
      <w:r>
        <w:br w:type="page"/>
      </w:r>
    </w:p>
    <w:p>
      <w:pPr>
        <w:pStyle w:val="Normal"/>
        <w:spacing w:before="0" w:after="120"/>
        <w:rPr/>
      </w:pPr>
      <w:r>
        <w:rPr/>
      </w:r>
    </w:p>
    <w:p>
      <w:pPr>
        <w:pStyle w:val="Heading1"/>
        <w:ind w:hanging="0" w:start="0"/>
        <w:rPr/>
      </w:pPr>
      <w:bookmarkStart w:id="0" w:name="_Toc226020120"/>
      <w:bookmarkStart w:id="1" w:name="_Toc226016095"/>
      <w:bookmarkStart w:id="2" w:name="_Toc567468296"/>
      <w:r>
        <w:rPr/>
        <w:t>1. Data Sources’ Readiness (R2.2)</w:t>
      </w:r>
      <w:bookmarkEnd w:id="0"/>
      <w:bookmarkEnd w:id="1"/>
      <w:bookmarkEnd w:id="2"/>
    </w:p>
    <w:p>
      <w:pPr>
        <w:pStyle w:val="Normal"/>
        <w:rPr/>
      </w:pPr>
      <w:r>
        <w:rPr/>
        <w:t>The MOBILAIR platform relies on a diverse set of environmental, mobility and behavioural datasets that enable the integration of air quality modelling, mobility analytics and user interaction services. The readiness of these data sources has been evaluated with respect to their availability, accessibility, update frequency and compatibility with the MOBILAIR data management infrastructure.</w:t>
      </w:r>
    </w:p>
    <w:p>
      <w:pPr>
        <w:pStyle w:val="Normal"/>
        <w:rPr/>
      </w:pPr>
      <w:r>
        <w:rPr/>
        <w:t xml:space="preserve">The project builds upon </w:t>
      </w:r>
      <w:r>
        <w:rPr>
          <w:b/>
          <w:bCs/>
        </w:rPr>
        <w:t>existing monitoring infrastructures, environmental modelling systems and mobility data resources available in Thessaloniki</w:t>
      </w:r>
      <w:r>
        <w:rPr/>
        <w:t>, while also incorporating additional datasets generated during the implementation of the project. These data streams are integrated into a unified analytical environment that supports the development of artificial intelligence services and behavioural nudging mechanisms aimed at encouraging more sustainable travel choices.</w:t>
      </w:r>
    </w:p>
    <w:p>
      <w:pPr>
        <w:pStyle w:val="Normal"/>
        <w:rPr/>
      </w:pPr>
      <w:r>
        <w:rPr/>
        <w:t>The overall data readiness strategy focuses on three main domains:</w:t>
      </w:r>
    </w:p>
    <w:p>
      <w:pPr>
        <w:pStyle w:val="Normal"/>
        <w:numPr>
          <w:ilvl w:val="0"/>
          <w:numId w:val="17"/>
        </w:numPr>
        <w:rPr/>
      </w:pPr>
      <w:r>
        <w:rPr>
          <w:b/>
          <w:bCs/>
        </w:rPr>
        <w:t>Environmental and air quality data</w:t>
      </w:r>
      <w:r>
        <w:rPr/>
        <w:t>, supporting pollution monitoring and forecasting</w:t>
      </w:r>
    </w:p>
    <w:p>
      <w:pPr>
        <w:pStyle w:val="Normal"/>
        <w:numPr>
          <w:ilvl w:val="0"/>
          <w:numId w:val="17"/>
        </w:numPr>
        <w:rPr/>
      </w:pPr>
      <w:r>
        <w:rPr>
          <w:b/>
          <w:bCs/>
        </w:rPr>
        <w:t>Mobility and transport data</w:t>
      </w:r>
      <w:r>
        <w:rPr/>
        <w:t>, enabling multimodal routing and exposure analysis</w:t>
      </w:r>
    </w:p>
    <w:p>
      <w:pPr>
        <w:pStyle w:val="Normal"/>
        <w:numPr>
          <w:ilvl w:val="0"/>
          <w:numId w:val="17"/>
        </w:numPr>
        <w:rPr/>
      </w:pPr>
      <w:r>
        <w:rPr>
          <w:b/>
          <w:bCs/>
        </w:rPr>
        <w:t>User interaction and behavioural data</w:t>
      </w:r>
      <w:r>
        <w:rPr/>
        <w:t>, supporting personalised recommendations and behavioural evaluation</w:t>
      </w:r>
    </w:p>
    <w:p>
      <w:pPr>
        <w:pStyle w:val="Normal"/>
        <w:rPr/>
      </w:pPr>
      <w:r>
        <w:rPr/>
        <w:t>The following subsections describe the main datasets currently integrated within the MOBILAIR platform.</w:t>
      </w:r>
    </w:p>
    <w:p>
      <w:pPr>
        <w:pStyle w:val="Normal"/>
        <w:rPr/>
      </w:pPr>
      <w:r>
        <w:rPr/>
      </w:r>
    </w:p>
    <w:p>
      <w:pPr>
        <w:pStyle w:val="Heading2"/>
        <w:rPr/>
      </w:pPr>
      <w:bookmarkStart w:id="3" w:name="_Toc226020121"/>
      <w:bookmarkStart w:id="4" w:name="_Toc226016096"/>
      <w:bookmarkStart w:id="5" w:name="_Toc731589426"/>
      <w:r>
        <w:rPr/>
        <w:t>1.1 Environmental and Air Quality Data</w:t>
      </w:r>
      <w:bookmarkEnd w:id="3"/>
      <w:bookmarkEnd w:id="4"/>
      <w:bookmarkEnd w:id="5"/>
    </w:p>
    <w:p>
      <w:pPr>
        <w:pStyle w:val="Normal"/>
        <w:rPr/>
      </w:pPr>
      <w:r>
        <w:rPr/>
        <w:t xml:space="preserve">Environmental data constitute a central component of the MOBILAIR analytical framework. Air quality forecasts are produced through a modelling chain developed by the </w:t>
      </w:r>
      <w:r>
        <w:rPr>
          <w:b/>
        </w:rPr>
        <w:t>Laboratory of Atmospheric Physics at the Aristotle University of Thessaloniki</w:t>
      </w:r>
      <w:r>
        <w:rPr/>
        <w:t>. The modelling framework integrates several established atmospheric modelling tools, including:</w:t>
      </w:r>
    </w:p>
    <w:p>
      <w:pPr>
        <w:pStyle w:val="Normal"/>
        <w:numPr>
          <w:ilvl w:val="0"/>
          <w:numId w:val="18"/>
        </w:numPr>
        <w:rPr/>
      </w:pPr>
      <w:r>
        <w:rPr/>
        <w:t xml:space="preserve">the </w:t>
      </w:r>
      <w:r>
        <w:rPr>
          <w:b/>
        </w:rPr>
        <w:t>Weather Research and Forecasting (WRF)</w:t>
      </w:r>
      <w:r>
        <w:rPr/>
        <w:t xml:space="preserve"> model for meteorological simulation,</w:t>
      </w:r>
    </w:p>
    <w:p>
      <w:pPr>
        <w:pStyle w:val="Normal"/>
        <w:numPr>
          <w:ilvl w:val="0"/>
          <w:numId w:val="18"/>
        </w:numPr>
        <w:rPr/>
      </w:pPr>
      <w:r>
        <w:rPr/>
        <w:t xml:space="preserve">the </w:t>
      </w:r>
      <w:r>
        <w:rPr>
          <w:b/>
        </w:rPr>
        <w:t>NEMO model</w:t>
      </w:r>
      <w:r>
        <w:rPr/>
        <w:t xml:space="preserve"> for natural emission estimation, and</w:t>
      </w:r>
    </w:p>
    <w:p>
      <w:pPr>
        <w:pStyle w:val="Normal"/>
        <w:numPr>
          <w:ilvl w:val="0"/>
          <w:numId w:val="18"/>
        </w:numPr>
        <w:rPr/>
      </w:pPr>
      <w:r>
        <w:rPr/>
        <w:t xml:space="preserve">the </w:t>
      </w:r>
      <w:r>
        <w:rPr>
          <w:b/>
        </w:rPr>
        <w:t>CAMx atmospheric chemistry and transport model</w:t>
      </w:r>
      <w:r>
        <w:rPr/>
        <w:t xml:space="preserve"> for pollutant dispersion and transformation.</w:t>
      </w:r>
    </w:p>
    <w:p>
      <w:pPr>
        <w:pStyle w:val="Normal"/>
        <w:rPr/>
      </w:pPr>
      <w:r>
        <w:rPr/>
        <w:t xml:space="preserve">The modelling system produces </w:t>
      </w:r>
      <w:r>
        <w:rPr>
          <w:b/>
        </w:rPr>
        <w:t>hourly forecasts of pollutant concentrations</w:t>
      </w:r>
      <w:r>
        <w:rPr/>
        <w:t xml:space="preserve"> for the metropolitan area of Thessaloniki. The outputs are delivered as geospatial raster datasets (GeoTIFF format) with a spatial resolution of approximately </w:t>
      </w:r>
      <w:r>
        <w:rPr>
          <w:b/>
        </w:rPr>
        <w:t>2 km²</w:t>
      </w:r>
      <w:r>
        <w:rPr/>
        <w:t>, which serve as the primary environmental input for the MOBILAIR platform.</w:t>
      </w:r>
    </w:p>
    <w:p>
      <w:pPr>
        <w:pStyle w:val="Normal"/>
        <w:rPr/>
      </w:pPr>
      <w:r>
        <w:rPr/>
        <w:t xml:space="preserve">The modelling outputs include key traffic-related pollutants such as </w:t>
      </w:r>
      <w:r>
        <w:rPr>
          <w:b/>
        </w:rPr>
        <w:t>particulate matter and nitrogen dioxide (e.g., PM10, PM2.5 and NO₂)</w:t>
      </w:r>
      <w:r>
        <w:rPr/>
        <w:t xml:space="preserve"> that are strongly associated with urban mobility patterns and transport emissions. These indicators provide the basis for estimating environmental conditions and evaluating potential exposure associated with urban travel behaviour.</w:t>
      </w:r>
    </w:p>
    <w:p>
      <w:pPr>
        <w:pStyle w:val="Normal"/>
        <w:rPr/>
      </w:pPr>
      <w:r>
        <w:rPr/>
        <w:t xml:space="preserve">In addition to model forecasts, </w:t>
      </w:r>
      <w:r>
        <w:rPr>
          <w:b/>
        </w:rPr>
        <w:t>ground-based air quality observations</w:t>
      </w:r>
      <w:r>
        <w:rPr/>
        <w:t xml:space="preserve"> are used to support calibration and validation procedures. These measurements are retrieved on an hourly basis through the </w:t>
      </w:r>
      <w:r>
        <w:rPr>
          <w:b/>
        </w:rPr>
        <w:t>CairCloud API</w:t>
      </w:r>
      <w:r>
        <w:rPr/>
        <w:t>, in collaboration with the Municipality of Thessaloniki. The monitoring infrastructure includes both existing monitoring stations and additional sensors deployed within the framework of the MOBILAIR project.</w:t>
      </w:r>
    </w:p>
    <w:p>
      <w:pPr>
        <w:pStyle w:val="Normal"/>
        <w:rPr/>
      </w:pPr>
      <w:r>
        <w:rPr/>
        <w:t>The observational datasets undergo a preprocessing workflow that includes:</w:t>
      </w:r>
    </w:p>
    <w:p>
      <w:pPr>
        <w:pStyle w:val="Normal"/>
        <w:numPr>
          <w:ilvl w:val="0"/>
          <w:numId w:val="19"/>
        </w:numPr>
        <w:rPr/>
      </w:pPr>
      <w:r>
        <w:rPr/>
        <w:t>quality control checks to detect unrealistic or inconsistent measurements,</w:t>
      </w:r>
    </w:p>
    <w:p>
      <w:pPr>
        <w:pStyle w:val="Normal"/>
        <w:numPr>
          <w:ilvl w:val="0"/>
          <w:numId w:val="19"/>
        </w:numPr>
        <w:rPr/>
      </w:pPr>
      <w:r>
        <w:rPr/>
        <w:t>filtering of monitoring stations with incomplete historical records, and</w:t>
      </w:r>
    </w:p>
    <w:p>
      <w:pPr>
        <w:pStyle w:val="Normal"/>
        <w:numPr>
          <w:ilvl w:val="0"/>
          <w:numId w:val="19"/>
        </w:numPr>
        <w:rPr/>
      </w:pPr>
      <w:r>
        <w:rPr/>
        <w:t>imputation of missing values using machine-learning techniques.</w:t>
      </w:r>
    </w:p>
    <w:p>
      <w:pPr>
        <w:pStyle w:val="Normal"/>
        <w:rPr/>
      </w:pPr>
      <w:r>
        <w:rPr/>
        <w:t>The resulting dataset provides a harmonized environmental database that supports both the operational forecasting system and the development of the platform’s analytical modules.</w:t>
      </w:r>
    </w:p>
    <w:p>
      <w:pPr>
        <w:pStyle w:val="Normal"/>
        <w:rPr/>
      </w:pPr>
      <w:r>
        <w:rPr/>
      </w:r>
    </w:p>
    <w:p>
      <w:pPr>
        <w:pStyle w:val="Heading2"/>
        <w:rPr/>
      </w:pPr>
      <w:bookmarkStart w:id="6" w:name="_Toc226020122"/>
      <w:bookmarkStart w:id="7" w:name="_Toc226016097"/>
      <w:bookmarkStart w:id="8" w:name="_Toc1760937614"/>
      <w:r>
        <w:rPr/>
        <w:t>1.2 Downscaling of Air Quality Estimates</w:t>
      </w:r>
      <w:bookmarkEnd w:id="6"/>
      <w:bookmarkEnd w:id="7"/>
      <w:bookmarkEnd w:id="8"/>
    </w:p>
    <w:p>
      <w:pPr>
        <w:pStyle w:val="Normal"/>
        <w:rPr/>
      </w:pPr>
      <w:r>
        <w:rPr/>
        <w:t xml:space="preserve">The regional air quality forecasts generated by the WRF–NEMO–CAMx modelling chain provide pollutant concentration fields at a spatial resolution of approximately </w:t>
      </w:r>
      <w:r>
        <w:rPr>
          <w:b/>
        </w:rPr>
        <w:t>2 km²</w:t>
      </w:r>
      <w:r>
        <w:rPr/>
        <w:t>. While this resolution is appropriate for regional analysis, urban mobility applications require more detailed spatial information to estimate exposure along specific travel routes and within dense urban corridors.</w:t>
      </w:r>
    </w:p>
    <w:p>
      <w:pPr>
        <w:pStyle w:val="Normal"/>
        <w:rPr/>
      </w:pPr>
      <w:r>
        <w:rPr/>
        <w:t xml:space="preserve">To address this limitation, MOBILAIR incorporates a </w:t>
      </w:r>
      <w:r>
        <w:rPr>
          <w:b/>
        </w:rPr>
        <w:t>downscaling procedure that refines regional pollutant forecasts using urban mobility context data</w:t>
      </w:r>
      <w:r>
        <w:rPr/>
        <w:t>. This procedure combines the model outputs with detailed road network information and traffic-related indicators to redistribute pollutant concentrations at a finer spatial scale.</w:t>
      </w:r>
    </w:p>
    <w:p>
      <w:pPr>
        <w:pStyle w:val="Normal"/>
        <w:rPr/>
      </w:pPr>
      <w:r>
        <w:rPr/>
        <w:t>The downscaling process includes the following steps:</w:t>
      </w:r>
    </w:p>
    <w:p>
      <w:pPr>
        <w:pStyle w:val="Normal"/>
        <w:numPr>
          <w:ilvl w:val="0"/>
          <w:numId w:val="20"/>
        </w:numPr>
        <w:rPr/>
      </w:pPr>
      <w:r>
        <w:rPr/>
        <w:t>extraction of the urban road network using geographic information systems and OpenStreetMap data,</w:t>
      </w:r>
    </w:p>
    <w:p>
      <w:pPr>
        <w:pStyle w:val="Normal"/>
        <w:numPr>
          <w:ilvl w:val="0"/>
          <w:numId w:val="20"/>
        </w:numPr>
        <w:rPr/>
      </w:pPr>
      <w:r>
        <w:rPr/>
        <w:t>classification of road segments according to traffic characteristics and mobility patterns,</w:t>
      </w:r>
    </w:p>
    <w:p>
      <w:pPr>
        <w:pStyle w:val="Normal"/>
        <w:numPr>
          <w:ilvl w:val="0"/>
          <w:numId w:val="20"/>
        </w:numPr>
        <w:rPr/>
      </w:pPr>
      <w:r>
        <w:rPr/>
        <w:t>definition of weighting factors based on road attributes such as road category, lane length and mobility activity, and</w:t>
      </w:r>
    </w:p>
    <w:p>
      <w:pPr>
        <w:pStyle w:val="Normal"/>
        <w:numPr>
          <w:ilvl w:val="0"/>
          <w:numId w:val="20"/>
        </w:numPr>
        <w:rPr/>
      </w:pPr>
      <w:r>
        <w:rPr/>
        <w:t>redistribution of pollutant concentrations across the road network based on these weights.</w:t>
      </w:r>
    </w:p>
    <w:p>
      <w:pPr>
        <w:pStyle w:val="Normal"/>
        <w:rPr/>
      </w:pPr>
      <w:r>
        <w:rPr/>
        <w:t xml:space="preserve">The resulting outputs consist of </w:t>
      </w:r>
      <w:r>
        <w:rPr>
          <w:b/>
        </w:rPr>
        <w:t>refined air quality maps and exposure indicators at street-network level</w:t>
      </w:r>
      <w:r>
        <w:rPr/>
        <w:t>, enabling the integration of environmental information into the routing services and behavioural recommendation mechanisms of the MOBILAIR platform.</w:t>
      </w:r>
    </w:p>
    <w:p>
      <w:pPr>
        <w:pStyle w:val="Normal"/>
        <w:rPr/>
      </w:pPr>
      <w:r>
        <w:rPr/>
      </w:r>
    </w:p>
    <w:p>
      <w:pPr>
        <w:pStyle w:val="Heading2"/>
        <w:rPr>
          <w:color w:val="auto"/>
        </w:rPr>
      </w:pPr>
      <w:bookmarkStart w:id="9" w:name="_Toc226020123"/>
      <w:bookmarkStart w:id="10" w:name="_Toc226016098"/>
      <w:bookmarkStart w:id="11" w:name="_Toc1239789637"/>
      <w:r>
        <w:rPr/>
        <w:t>1.3 Mobility and Transport Data</w:t>
      </w:r>
      <w:bookmarkEnd w:id="9"/>
      <w:bookmarkEnd w:id="10"/>
      <w:bookmarkEnd w:id="11"/>
    </w:p>
    <w:p>
      <w:pPr>
        <w:pStyle w:val="Normal"/>
        <w:spacing w:before="0" w:after="160"/>
        <w:rPr/>
      </w:pPr>
      <w:r>
        <w:rPr/>
        <w:t>Mobility datasets provide the spatial and operational context required for route planning, mobility analytics and exposure-aware travel recommendations.</w:t>
      </w:r>
    </w:p>
    <w:p>
      <w:pPr>
        <w:pStyle w:val="Normal"/>
        <w:spacing w:before="0" w:after="160"/>
        <w:rPr/>
      </w:pPr>
      <w:r>
        <w:rPr/>
        <w:t xml:space="preserve">The core representation of the urban transport network is derived from </w:t>
      </w:r>
      <w:r>
        <w:rPr>
          <w:b/>
        </w:rPr>
        <w:t>OpenStreetMap (OSM)</w:t>
      </w:r>
      <w:r>
        <w:rPr/>
        <w:t xml:space="preserve"> data. These datasets are processed using the </w:t>
      </w:r>
      <w:r>
        <w:rPr>
          <w:b/>
        </w:rPr>
        <w:t>OSMnx Python library</w:t>
      </w:r>
      <w:r>
        <w:rPr/>
        <w:t>, which converts raw map data into a routable graph representation consisting of nodes and edges representing intersections and road segments. This graph structure forms the basis for shortest-path computations and multimodal routing services implemented in the MOBILAIR platform.</w:t>
      </w:r>
    </w:p>
    <w:p>
      <w:pPr>
        <w:pStyle w:val="Normal"/>
        <w:spacing w:before="0" w:after="160"/>
        <w:rPr/>
      </w:pPr>
      <w:r>
        <w:rPr/>
        <w:t xml:space="preserve">Additional mobility-related information is provided through the </w:t>
      </w:r>
      <w:r>
        <w:rPr>
          <w:b/>
        </w:rPr>
        <w:t>Thessaloniki Smart Mobility Living Lab (ThSMLL)</w:t>
      </w:r>
      <w:r>
        <w:rPr/>
        <w:t xml:space="preserve"> operated by the Hellenic Institute of Transport (CERTH/HIT). The Living Lab provides access to urban mobility datasets and experimentation infrastructure supporting the development and validation of smart mobility services within the city.</w:t>
      </w:r>
    </w:p>
    <w:p>
      <w:pPr>
        <w:pStyle w:val="Normal"/>
        <w:spacing w:before="0" w:after="160"/>
        <w:rPr/>
      </w:pPr>
      <w:r>
        <w:rPr/>
        <w:t>The datasets available through the ThSMLL include information related to:</w:t>
      </w:r>
    </w:p>
    <w:p>
      <w:pPr>
        <w:pStyle w:val="Normal"/>
        <w:numPr>
          <w:ilvl w:val="0"/>
          <w:numId w:val="21"/>
        </w:numPr>
        <w:spacing w:before="0" w:after="160"/>
        <w:rPr/>
      </w:pPr>
      <w:r>
        <w:rPr/>
        <w:t>traffic activity patterns across the urban road network</w:t>
      </w:r>
    </w:p>
    <w:p>
      <w:pPr>
        <w:pStyle w:val="Normal"/>
        <w:numPr>
          <w:ilvl w:val="0"/>
          <w:numId w:val="21"/>
        </w:numPr>
        <w:spacing w:before="0" w:after="160"/>
        <w:rPr/>
      </w:pPr>
      <w:r>
        <w:rPr/>
        <w:t>public transport infrastructure and operational characteristics</w:t>
      </w:r>
    </w:p>
    <w:p>
      <w:pPr>
        <w:pStyle w:val="Normal"/>
        <w:numPr>
          <w:ilvl w:val="0"/>
          <w:numId w:val="21"/>
        </w:numPr>
        <w:spacing w:before="0" w:after="160"/>
        <w:rPr/>
      </w:pPr>
      <w:r>
        <w:rPr/>
        <w:t>shared micromobility services such as e-bike and e-scooter systems</w:t>
      </w:r>
    </w:p>
    <w:p>
      <w:pPr>
        <w:pStyle w:val="Normal"/>
        <w:spacing w:before="0" w:after="160"/>
        <w:rPr/>
      </w:pPr>
      <w:r>
        <w:rPr/>
        <w:t>These datasets enable the integration of multiple transport modes within the multimodal trip planner and support the estimation of environmental impacts associated with alternative travel choices.</w:t>
      </w:r>
    </w:p>
    <w:p>
      <w:pPr>
        <w:pStyle w:val="Normal"/>
        <w:spacing w:before="0" w:after="160"/>
        <w:rPr/>
      </w:pPr>
      <w:r>
        <w:rPr/>
      </w:r>
    </w:p>
    <w:p>
      <w:pPr>
        <w:pStyle w:val="Heading2"/>
        <w:rPr/>
      </w:pPr>
      <w:bookmarkStart w:id="12" w:name="_Toc226020124"/>
      <w:bookmarkStart w:id="13" w:name="_Toc226016099"/>
      <w:bookmarkStart w:id="14" w:name="_Toc1741378587"/>
      <w:r>
        <w:rPr/>
        <w:t>1.4 Behavioural and User Interaction Data</w:t>
      </w:r>
      <w:bookmarkEnd w:id="12"/>
      <w:bookmarkEnd w:id="13"/>
      <w:bookmarkEnd w:id="14"/>
    </w:p>
    <w:p>
      <w:pPr>
        <w:pStyle w:val="Normal"/>
        <w:spacing w:before="0" w:after="160"/>
        <w:rPr/>
      </w:pPr>
      <w:bookmarkStart w:id="15" w:name="_Toc222840425"/>
      <w:r>
        <w:rPr/>
        <w:t>The MOBILAIR mobile application generates behavioural datasets that support the development of personalised mobility recommendations and the evaluation of user engagement with the platform’s services.</w:t>
      </w:r>
    </w:p>
    <w:p>
      <w:pPr>
        <w:pStyle w:val="Normal"/>
        <w:spacing w:before="0" w:after="160"/>
        <w:rPr/>
      </w:pPr>
      <w:r>
        <w:rPr/>
        <w:t>User-related information originates from several components of the mobile application, including:</w:t>
      </w:r>
    </w:p>
    <w:p>
      <w:pPr>
        <w:pStyle w:val="Normal"/>
        <w:numPr>
          <w:ilvl w:val="0"/>
          <w:numId w:val="22"/>
        </w:numPr>
        <w:spacing w:before="0" w:after="160"/>
        <w:rPr/>
      </w:pPr>
      <w:r>
        <w:rPr/>
        <w:t xml:space="preserve">the </w:t>
      </w:r>
      <w:r>
        <w:rPr>
          <w:b/>
        </w:rPr>
        <w:t>initial user profile questionnaire</w:t>
      </w:r>
      <w:r>
        <w:rPr/>
        <w:t>, which captures information related to mobility habits and user preferences</w:t>
      </w:r>
    </w:p>
    <w:p>
      <w:pPr>
        <w:pStyle w:val="Normal"/>
        <w:numPr>
          <w:ilvl w:val="0"/>
          <w:numId w:val="22"/>
        </w:numPr>
        <w:spacing w:before="0" w:after="160"/>
        <w:rPr/>
      </w:pPr>
      <w:r>
        <w:rPr/>
        <w:t xml:space="preserve">the </w:t>
      </w:r>
      <w:r>
        <w:rPr>
          <w:b/>
        </w:rPr>
        <w:t>route planning interface</w:t>
      </w:r>
      <w:r>
        <w:rPr/>
        <w:t>, which records trip planning requests and selected itineraries</w:t>
      </w:r>
    </w:p>
    <w:p>
      <w:pPr>
        <w:pStyle w:val="Normal"/>
        <w:numPr>
          <w:ilvl w:val="0"/>
          <w:numId w:val="22"/>
        </w:numPr>
        <w:spacing w:before="0" w:after="160"/>
        <w:rPr/>
      </w:pPr>
      <w:r>
        <w:rPr>
          <w:b/>
        </w:rPr>
        <w:t>interactive application components</w:t>
      </w:r>
      <w:r>
        <w:rPr/>
        <w:t>, such as gamification features, quizzes and surveys designed to promote behavioural awareness</w:t>
      </w:r>
    </w:p>
    <w:p>
      <w:pPr>
        <w:pStyle w:val="Normal"/>
        <w:spacing w:before="0" w:after="160"/>
        <w:rPr/>
      </w:pPr>
      <w:r>
        <w:rPr/>
        <w:t xml:space="preserve">These datasets enable the analysis of user responses to behavioural nudging strategies and provide the basis for the adaptive recommendation mechanisms implemented in the MOBILAIR AI module. All user-generated information is handled in accordance with </w:t>
      </w:r>
      <w:r>
        <w:rPr>
          <w:b/>
        </w:rPr>
        <w:t>data protection regulations</w:t>
      </w:r>
      <w:r>
        <w:rPr/>
        <w:t>, ensuring that personal data are processed in anonymized or aggregated form whenever possible.</w:t>
      </w:r>
    </w:p>
    <w:p>
      <w:pPr>
        <w:pStyle w:val="Normal"/>
        <w:spacing w:before="0" w:after="160"/>
        <w:rPr/>
      </w:pPr>
      <w:r>
        <w:rPr/>
      </w:r>
    </w:p>
    <w:p>
      <w:pPr>
        <w:pStyle w:val="Heading2"/>
        <w:rPr/>
      </w:pPr>
      <w:bookmarkStart w:id="16" w:name="_Toc226020125"/>
      <w:bookmarkStart w:id="17" w:name="_Toc226016100"/>
      <w:bookmarkStart w:id="18" w:name="_Toc491200604"/>
      <w:r>
        <w:rPr/>
        <w:t>1.5 Data Transmission and Integration</w:t>
      </w:r>
      <w:bookmarkEnd w:id="16"/>
      <w:bookmarkEnd w:id="17"/>
      <w:bookmarkEnd w:id="18"/>
    </w:p>
    <w:p>
      <w:pPr>
        <w:pStyle w:val="Normal"/>
        <w:spacing w:before="0" w:after="160"/>
        <w:rPr/>
      </w:pPr>
      <w:r>
        <w:rPr/>
        <w:t xml:space="preserve">Data flows within the MOBILAIR system are managed through secure data exchange mechanisms. Environmental model outputs and derived datasets are transmitted via </w:t>
      </w:r>
      <w:r>
        <w:rPr>
          <w:b/>
        </w:rPr>
        <w:t>Secure File Transfer Protocol (SFTP)</w:t>
      </w:r>
      <w:r>
        <w:rPr/>
        <w:t xml:space="preserve"> connections, ensuring reliable and protected transfer of geospatial files between modelling components and the central platform infrastructure.</w:t>
      </w:r>
    </w:p>
    <w:p>
      <w:pPr>
        <w:pStyle w:val="Normal"/>
        <w:spacing w:before="0" w:after="160"/>
        <w:rPr/>
      </w:pPr>
      <w:r>
        <w:rPr/>
        <w:t>The system maintains continuously updated datasets that include:</w:t>
      </w:r>
    </w:p>
    <w:p>
      <w:pPr>
        <w:pStyle w:val="Normal"/>
        <w:numPr>
          <w:ilvl w:val="0"/>
          <w:numId w:val="23"/>
        </w:numPr>
        <w:spacing w:before="0" w:after="160"/>
        <w:rPr/>
      </w:pPr>
      <w:r>
        <w:rPr/>
        <w:t>hourly pollutant concentration forecasts,</w:t>
      </w:r>
    </w:p>
    <w:p>
      <w:pPr>
        <w:pStyle w:val="Normal"/>
        <w:numPr>
          <w:ilvl w:val="0"/>
          <w:numId w:val="23"/>
        </w:numPr>
        <w:spacing w:before="0" w:after="160"/>
        <w:rPr/>
      </w:pPr>
      <w:r>
        <w:rPr/>
        <w:t>derived air quality indicators, and</w:t>
      </w:r>
    </w:p>
    <w:p>
      <w:pPr>
        <w:pStyle w:val="Normal"/>
        <w:numPr>
          <w:ilvl w:val="0"/>
          <w:numId w:val="23"/>
        </w:numPr>
        <w:spacing w:before="0" w:after="160"/>
        <w:rPr/>
      </w:pPr>
      <w:r>
        <w:rPr/>
        <w:t>estimates of traffic-related emission contributions.</w:t>
      </w:r>
    </w:p>
    <w:p>
      <w:pPr>
        <w:pStyle w:val="Normal"/>
        <w:spacing w:before="0" w:after="160"/>
        <w:rPr/>
      </w:pPr>
      <w:r>
        <w:rPr/>
        <w:t>These datasets are subsequently integrated with mobility and behavioural data streams to support the platform’s analytical services, exposure estimation modules and decision-support functionalities.</w:t>
      </w:r>
    </w:p>
    <w:p>
      <w:pPr>
        <w:pStyle w:val="Normal"/>
        <w:spacing w:before="0" w:after="160"/>
        <w:rPr/>
      </w:pPr>
      <w:r>
        <w:rPr/>
      </w:r>
    </w:p>
    <w:p>
      <w:pPr>
        <w:pStyle w:val="Heading2"/>
        <w:rPr/>
      </w:pPr>
      <w:bookmarkStart w:id="19" w:name="_Toc226020126"/>
      <w:bookmarkStart w:id="20" w:name="_Toc226016101"/>
      <w:bookmarkStart w:id="21" w:name="_Toc1530599334"/>
      <w:r>
        <w:rPr/>
        <w:t>1.6 Overall Data Readiness</w:t>
      </w:r>
      <w:bookmarkEnd w:id="19"/>
      <w:bookmarkEnd w:id="20"/>
      <w:bookmarkEnd w:id="21"/>
    </w:p>
    <w:p>
      <w:pPr>
        <w:pStyle w:val="Normal"/>
        <w:spacing w:before="0" w:after="160"/>
        <w:rPr/>
      </w:pPr>
      <w:r>
        <w:rPr/>
        <w:t>At the current stage of the project, most of the required datasets are already operational and accessible through existing infrastructures and institutional collaborations. Environmental modelling outputs, monitoring station observations, road network data and mobility datasets from the Thessaloniki Smart Mobility Living Lab have been successfully integrated into the MOBILAIR analytical environment.</w:t>
      </w:r>
    </w:p>
    <w:p>
      <w:pPr>
        <w:pStyle w:val="Normal"/>
        <w:spacing w:before="0" w:after="160"/>
        <w:rPr/>
      </w:pPr>
      <w:r>
        <w:rPr/>
        <w:t>As the project progresses, additional datasets generated through the mobile application and pilot activities will further enrich the system’s knowledge base. This level of readiness ensures that the MOBILAIR platform can support the implementation and evaluation of its core functionalities, including exposure-aware routing, behavioural nudging mechanisms and data-driven decision-support services for sustainable urban mobility.</w:t>
      </w:r>
    </w:p>
    <w:p>
      <w:pPr>
        <w:pStyle w:val="Normal"/>
        <w:spacing w:before="0" w:after="160"/>
        <w:rPr/>
      </w:pPr>
      <w:r>
        <w:rPr/>
        <w:t xml:space="preserve">To provide a consolidated overview of the datasets currently integrated within the MOBILAIR platform, </w:t>
      </w:r>
      <w:r>
        <w:rPr/>
        <w:fldChar w:fldCharType="begin"/>
      </w:r>
      <w:r>
        <w:rPr/>
        <w:instrText xml:space="preserve"> REF _Ref223527799 \h </w:instrText>
      </w:r>
      <w:r>
        <w:rPr/>
        <w:fldChar w:fldCharType="separate"/>
      </w:r>
      <w:r>
        <w:rPr/>
        <w:t>Table 1</w:t>
      </w:r>
      <w:r>
        <w:rPr/>
        <w:fldChar w:fldCharType="end"/>
      </w:r>
      <w:r>
        <w:rPr/>
        <w:t xml:space="preserve"> summarises the main data sources, their providers, update frequency and their role within the system’s analytical framework.</w:t>
      </w:r>
    </w:p>
    <w:p>
      <w:pPr>
        <w:pStyle w:val="Normal"/>
        <w:spacing w:before="0" w:after="160"/>
        <w:rPr/>
      </w:pPr>
      <w:r>
        <w:rPr/>
      </w:r>
    </w:p>
    <w:p>
      <w:pPr>
        <w:pStyle w:val="Caption"/>
        <w:keepNext w:val="true"/>
        <w:rPr/>
      </w:pPr>
      <w:bookmarkStart w:id="22" w:name="_Toc226020116"/>
      <w:bookmarkStart w:id="23" w:name="_Ref223527799"/>
      <w:r>
        <w:rPr/>
        <w:t xml:space="preserve">Table </w:t>
      </w:r>
      <w:r>
        <w:rPr/>
        <w:fldChar w:fldCharType="begin"/>
      </w:r>
      <w:r>
        <w:rPr/>
        <w:instrText xml:space="preserve"> SEQ Table \* ARABIC </w:instrText>
      </w:r>
      <w:r>
        <w:rPr/>
        <w:fldChar w:fldCharType="separate"/>
      </w:r>
      <w:r>
        <w:rPr/>
        <w:t>1</w:t>
      </w:r>
      <w:r>
        <w:rPr/>
        <w:fldChar w:fldCharType="end"/>
      </w:r>
      <w:bookmarkEnd w:id="23"/>
      <w:r>
        <w:rPr/>
        <w:t>: Overview of Data Sources Integrated in the MOBILAIR Platform</w:t>
      </w:r>
      <w:bookmarkEnd w:id="22"/>
    </w:p>
    <w:tbl>
      <w:tblPr>
        <w:tblStyle w:val="PlainTable1"/>
        <w:tblW w:w="935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635"/>
        <w:gridCol w:w="2451"/>
        <w:gridCol w:w="1843"/>
        <w:gridCol w:w="1235"/>
        <w:gridCol w:w="2186"/>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5" w:type="dxa"/>
            <w:tcBorders/>
          </w:tcPr>
          <w:p>
            <w:pPr>
              <w:pStyle w:val="Normal"/>
              <w:widowControl/>
              <w:spacing w:lineRule="auto" w:line="278" w:before="0" w:after="160"/>
              <w:jc w:val="start"/>
              <w:rPr>
                <w:b/>
                <w:bCs/>
                <w:kern w:val="2"/>
                <w:lang w:eastAsia="en-US" w:bidi="ar-SA"/>
              </w:rPr>
            </w:pPr>
            <w:r>
              <w:rPr>
                <w:b/>
                <w:bCs/>
                <w:kern w:val="2"/>
                <w:lang w:eastAsia="en-US" w:bidi="ar-SA"/>
              </w:rPr>
              <w:t>Data Category</w:t>
            </w:r>
          </w:p>
        </w:tc>
        <w:tc>
          <w:tcPr>
            <w:tcW w:w="2451" w:type="dxa"/>
            <w:tcBorders/>
          </w:tcPr>
          <w:p>
            <w:pPr>
              <w:pStyle w:val="Normal"/>
              <w:widowControl/>
              <w:spacing w:lineRule="auto" w:line="278" w:before="0" w:after="160"/>
              <w:jc w:val="start"/>
              <w:cnfStyle w:val="100000000000" w:firstRow="1" w:lastRow="0" w:firstColumn="0" w:lastColumn="0" w:oddVBand="0" w:evenVBand="0" w:oddHBand="0" w:evenHBand="0" w:firstRowFirstColumn="0" w:firstRowLastColumn="0" w:lastRowFirstColumn="0" w:lastRowLastColumn="0"/>
              <w:rPr>
                <w:b/>
                <w:bCs/>
                <w:kern w:val="2"/>
                <w:lang w:eastAsia="en-US" w:bidi="ar-SA"/>
              </w:rPr>
            </w:pPr>
            <w:r>
              <w:rPr>
                <w:b/>
                <w:bCs/>
                <w:kern w:val="2"/>
                <w:lang w:eastAsia="en-US" w:bidi="ar-SA"/>
              </w:rPr>
              <w:t>Main Source / Provider</w:t>
            </w:r>
          </w:p>
        </w:tc>
        <w:tc>
          <w:tcPr>
            <w:tcW w:w="1843" w:type="dxa"/>
            <w:tcBorders/>
          </w:tcPr>
          <w:p>
            <w:pPr>
              <w:pStyle w:val="Normal"/>
              <w:widowControl/>
              <w:spacing w:lineRule="auto" w:line="278" w:before="0" w:after="160"/>
              <w:jc w:val="start"/>
              <w:cnfStyle w:val="100000000000" w:firstRow="1" w:lastRow="0" w:firstColumn="0" w:lastColumn="0" w:oddVBand="0" w:evenVBand="0" w:oddHBand="0" w:evenHBand="0" w:firstRowFirstColumn="0" w:firstRowLastColumn="0" w:lastRowFirstColumn="0" w:lastRowLastColumn="0"/>
              <w:rPr>
                <w:b/>
                <w:bCs/>
                <w:kern w:val="2"/>
                <w:lang w:eastAsia="en-US" w:bidi="ar-SA"/>
              </w:rPr>
            </w:pPr>
            <w:r>
              <w:rPr>
                <w:b/>
                <w:bCs/>
                <w:kern w:val="2"/>
                <w:lang w:eastAsia="en-US" w:bidi="ar-SA"/>
              </w:rPr>
              <w:t>Data Type &amp; Format</w:t>
            </w:r>
          </w:p>
        </w:tc>
        <w:tc>
          <w:tcPr>
            <w:tcW w:w="1235" w:type="dxa"/>
            <w:tcBorders/>
          </w:tcPr>
          <w:p>
            <w:pPr>
              <w:pStyle w:val="Normal"/>
              <w:widowControl/>
              <w:spacing w:lineRule="auto" w:line="278" w:before="0" w:after="160"/>
              <w:jc w:val="start"/>
              <w:cnfStyle w:val="100000000000" w:firstRow="1" w:lastRow="0" w:firstColumn="0" w:lastColumn="0" w:oddVBand="0" w:evenVBand="0" w:oddHBand="0" w:evenHBand="0" w:firstRowFirstColumn="0" w:firstRowLastColumn="0" w:lastRowFirstColumn="0" w:lastRowLastColumn="0"/>
              <w:rPr>
                <w:b/>
                <w:bCs/>
                <w:kern w:val="2"/>
                <w:lang w:eastAsia="en-US" w:bidi="ar-SA"/>
              </w:rPr>
            </w:pPr>
            <w:r>
              <w:rPr>
                <w:b/>
                <w:bCs/>
                <w:kern w:val="2"/>
                <w:lang w:eastAsia="en-US" w:bidi="ar-SA"/>
              </w:rPr>
              <w:t>Update Frequency</w:t>
            </w:r>
          </w:p>
        </w:tc>
        <w:tc>
          <w:tcPr>
            <w:tcW w:w="2186" w:type="dxa"/>
            <w:tcBorders/>
          </w:tcPr>
          <w:p>
            <w:pPr>
              <w:pStyle w:val="Normal"/>
              <w:widowControl/>
              <w:spacing w:lineRule="auto" w:line="278" w:before="0" w:after="160"/>
              <w:jc w:val="start"/>
              <w:cnfStyle w:val="100000000000" w:firstRow="1" w:lastRow="0" w:firstColumn="0" w:lastColumn="0" w:oddVBand="0" w:evenVBand="0" w:oddHBand="0" w:evenHBand="0" w:firstRowFirstColumn="0" w:firstRowLastColumn="0" w:lastRowFirstColumn="0" w:lastRowLastColumn="0"/>
              <w:rPr>
                <w:b/>
                <w:bCs/>
                <w:kern w:val="2"/>
                <w:lang w:eastAsia="en-US" w:bidi="ar-SA"/>
              </w:rPr>
            </w:pPr>
            <w:r>
              <w:rPr>
                <w:b/>
                <w:bCs/>
                <w:kern w:val="2"/>
                <w:lang w:eastAsia="en-US" w:bidi="ar-SA"/>
              </w:rPr>
              <w:t>Role in MOBILAIR</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5" w:type="dxa"/>
            <w:tcBorders/>
            <w:shd w:color="auto" w:fill="F2F2F2" w:themeFill="background1" w:themeFillShade="f2" w:val="clear"/>
          </w:tcPr>
          <w:p>
            <w:pPr>
              <w:pStyle w:val="Normal"/>
              <w:widowControl/>
              <w:spacing w:lineRule="auto" w:line="278" w:before="0" w:after="160"/>
              <w:jc w:val="start"/>
              <w:rPr>
                <w:b/>
                <w:bCs/>
                <w:kern w:val="2"/>
                <w:lang w:eastAsia="en-US" w:bidi="ar-SA"/>
              </w:rPr>
            </w:pPr>
            <w:r>
              <w:rPr>
                <w:b/>
                <w:bCs/>
                <w:kern w:val="2"/>
                <w:lang w:eastAsia="en-US" w:bidi="ar-SA"/>
              </w:rPr>
              <w:t>Air Quality Forecasts</w:t>
            </w:r>
          </w:p>
        </w:tc>
        <w:tc>
          <w:tcPr>
            <w:tcW w:w="2451" w:type="dxa"/>
            <w:tcBorders/>
            <w:shd w:color="auto" w:fill="F2F2F2" w:themeFill="background1" w:themeFillShade="f2" w:val="clear"/>
          </w:tcPr>
          <w:p>
            <w:pPr>
              <w:pStyle w:val="Normal"/>
              <w:widowControl/>
              <w:spacing w:lineRule="auto" w:line="278" w:before="0" w:after="160"/>
              <w:jc w:val="start"/>
              <w:cnfStyle w:val="000000100000" w:firstRow="0" w:lastRow="0" w:firstColumn="0" w:lastColumn="0" w:oddVBand="0" w:evenVBand="0" w:oddHBand="1" w:evenHBand="0" w:firstRowFirstColumn="0" w:firstRowLastColumn="0" w:lastRowFirstColumn="0" w:lastRowLastColumn="0"/>
              <w:rPr>
                <w:kern w:val="2"/>
                <w:lang w:eastAsia="en-US" w:bidi="ar-SA"/>
              </w:rPr>
            </w:pPr>
            <w:r>
              <w:rPr>
                <w:kern w:val="2"/>
                <w:lang w:eastAsia="en-US" w:bidi="ar-SA"/>
              </w:rPr>
              <w:t>AUTH – Laboratory of Atmospheric Physics (WRF–NEMO–CAMx modelling chain)</w:t>
            </w:r>
          </w:p>
        </w:tc>
        <w:tc>
          <w:tcPr>
            <w:tcW w:w="1843" w:type="dxa"/>
            <w:tcBorders/>
            <w:shd w:color="auto" w:fill="F2F2F2" w:themeFill="background1" w:themeFillShade="f2" w:val="clear"/>
          </w:tcPr>
          <w:p>
            <w:pPr>
              <w:pStyle w:val="Normal"/>
              <w:widowControl/>
              <w:spacing w:lineRule="auto" w:line="278" w:before="0" w:after="160"/>
              <w:jc w:val="start"/>
              <w:cnfStyle w:val="000000100000" w:firstRow="0" w:lastRow="0" w:firstColumn="0" w:lastColumn="0" w:oddVBand="0" w:evenVBand="0" w:oddHBand="1" w:evenHBand="0" w:firstRowFirstColumn="0" w:firstRowLastColumn="0" w:lastRowFirstColumn="0" w:lastRowLastColumn="0"/>
              <w:rPr>
                <w:kern w:val="2"/>
                <w:lang w:eastAsia="en-US" w:bidi="ar-SA"/>
              </w:rPr>
            </w:pPr>
            <w:r>
              <w:rPr>
                <w:kern w:val="2"/>
                <w:lang w:eastAsia="en-US" w:bidi="ar-SA"/>
              </w:rPr>
              <w:t>Raster datasets (GeoTIFF)</w:t>
            </w:r>
          </w:p>
        </w:tc>
        <w:tc>
          <w:tcPr>
            <w:tcW w:w="1235" w:type="dxa"/>
            <w:tcBorders/>
            <w:shd w:color="auto" w:fill="F2F2F2" w:themeFill="background1" w:themeFillShade="f2" w:val="clear"/>
          </w:tcPr>
          <w:p>
            <w:pPr>
              <w:pStyle w:val="Normal"/>
              <w:widowControl/>
              <w:spacing w:lineRule="auto" w:line="278" w:before="0" w:after="160"/>
              <w:jc w:val="start"/>
              <w:cnfStyle w:val="000000100000" w:firstRow="0" w:lastRow="0" w:firstColumn="0" w:lastColumn="0" w:oddVBand="0" w:evenVBand="0" w:oddHBand="1" w:evenHBand="0" w:firstRowFirstColumn="0" w:firstRowLastColumn="0" w:lastRowFirstColumn="0" w:lastRowLastColumn="0"/>
              <w:rPr>
                <w:kern w:val="2"/>
                <w:lang w:eastAsia="en-US" w:bidi="ar-SA"/>
              </w:rPr>
            </w:pPr>
            <w:r>
              <w:rPr>
                <w:kern w:val="2"/>
                <w:lang w:eastAsia="en-US" w:bidi="ar-SA"/>
              </w:rPr>
              <w:t>Hourly</w:t>
            </w:r>
          </w:p>
        </w:tc>
        <w:tc>
          <w:tcPr>
            <w:tcW w:w="2186" w:type="dxa"/>
            <w:tcBorders/>
            <w:shd w:color="auto" w:fill="F2F2F2" w:themeFill="background1" w:themeFillShade="f2" w:val="clear"/>
          </w:tcPr>
          <w:p>
            <w:pPr>
              <w:pStyle w:val="Normal"/>
              <w:widowControl/>
              <w:spacing w:lineRule="auto" w:line="278" w:before="0" w:after="160"/>
              <w:jc w:val="start"/>
              <w:cnfStyle w:val="000000100000" w:firstRow="0" w:lastRow="0" w:firstColumn="0" w:lastColumn="0" w:oddVBand="0" w:evenVBand="0" w:oddHBand="1" w:evenHBand="0" w:firstRowFirstColumn="0" w:firstRowLastColumn="0" w:lastRowFirstColumn="0" w:lastRowLastColumn="0"/>
              <w:rPr>
                <w:kern w:val="2"/>
                <w:lang w:eastAsia="en-US" w:bidi="ar-SA"/>
              </w:rPr>
            </w:pPr>
            <w:r>
              <w:rPr>
                <w:kern w:val="2"/>
                <w:lang w:eastAsia="en-US" w:bidi="ar-SA"/>
              </w:rPr>
              <w:t>Provides pollutant concentration forecasts used for environmental assessment and exposure modelling</w:t>
            </w:r>
          </w:p>
        </w:tc>
      </w:tr>
      <w:tr>
        <w:trPr/>
        <w:tc>
          <w:tcPr>
            <w:cnfStyle w:val="001000000000" w:firstRow="0" w:lastRow="0" w:firstColumn="1" w:lastColumn="0" w:oddVBand="0" w:evenVBand="0" w:oddHBand="0" w:evenHBand="0" w:firstRowFirstColumn="0" w:firstRowLastColumn="0" w:lastRowFirstColumn="0" w:lastRowLastColumn="0"/>
            <w:tcW w:w="1635" w:type="dxa"/>
            <w:tcBorders/>
          </w:tcPr>
          <w:p>
            <w:pPr>
              <w:pStyle w:val="Normal"/>
              <w:widowControl/>
              <w:spacing w:lineRule="auto" w:line="278" w:before="0" w:after="160"/>
              <w:jc w:val="start"/>
              <w:rPr>
                <w:b/>
                <w:bCs/>
                <w:kern w:val="2"/>
                <w:lang w:eastAsia="en-US" w:bidi="ar-SA"/>
              </w:rPr>
            </w:pPr>
            <w:r>
              <w:rPr>
                <w:b/>
                <w:bCs/>
                <w:kern w:val="2"/>
                <w:lang w:eastAsia="en-US" w:bidi="ar-SA"/>
              </w:rPr>
              <w:t>Air Quality Observations</w:t>
            </w:r>
          </w:p>
        </w:tc>
        <w:tc>
          <w:tcPr>
            <w:tcW w:w="2451" w:type="dxa"/>
            <w:tcBorders/>
          </w:tcPr>
          <w:p>
            <w:pPr>
              <w:pStyle w:val="Normal"/>
              <w:widowControl/>
              <w:spacing w:lineRule="auto" w:line="278" w:before="0" w:after="160"/>
              <w:jc w:val="start"/>
              <w:cnfStyle w:val="000000000000" w:firstRow="0" w:lastRow="0" w:firstColumn="0" w:lastColumn="0" w:oddVBand="0" w:evenVBand="0" w:oddHBand="0" w:evenHBand="0" w:firstRowFirstColumn="0" w:firstRowLastColumn="0" w:lastRowFirstColumn="0" w:lastRowLastColumn="0"/>
              <w:rPr>
                <w:kern w:val="2"/>
                <w:lang w:eastAsia="en-US" w:bidi="ar-SA"/>
              </w:rPr>
            </w:pPr>
            <w:r>
              <w:rPr>
                <w:kern w:val="2"/>
                <w:lang w:eastAsia="en-US" w:bidi="ar-SA"/>
              </w:rPr>
              <w:t>Monitoring stations and project sensors via CairCloud API (Municipality of Thessaloniki)</w:t>
            </w:r>
          </w:p>
        </w:tc>
        <w:tc>
          <w:tcPr>
            <w:tcW w:w="1843" w:type="dxa"/>
            <w:tcBorders/>
          </w:tcPr>
          <w:p>
            <w:pPr>
              <w:pStyle w:val="Normal"/>
              <w:widowControl/>
              <w:spacing w:lineRule="auto" w:line="278" w:before="0" w:after="160"/>
              <w:jc w:val="start"/>
              <w:cnfStyle w:val="000000000000" w:firstRow="0" w:lastRow="0" w:firstColumn="0" w:lastColumn="0" w:oddVBand="0" w:evenVBand="0" w:oddHBand="0" w:evenHBand="0" w:firstRowFirstColumn="0" w:firstRowLastColumn="0" w:lastRowFirstColumn="0" w:lastRowLastColumn="0"/>
              <w:rPr>
                <w:kern w:val="2"/>
                <w:lang w:eastAsia="en-US" w:bidi="ar-SA"/>
              </w:rPr>
            </w:pPr>
            <w:r>
              <w:rPr>
                <w:kern w:val="2"/>
                <w:lang w:eastAsia="en-US" w:bidi="ar-SA"/>
              </w:rPr>
              <w:t>Time-series measurements (CSV / API retrieval)</w:t>
            </w:r>
          </w:p>
        </w:tc>
        <w:tc>
          <w:tcPr>
            <w:tcW w:w="1235" w:type="dxa"/>
            <w:tcBorders/>
          </w:tcPr>
          <w:p>
            <w:pPr>
              <w:pStyle w:val="Normal"/>
              <w:widowControl/>
              <w:spacing w:lineRule="auto" w:line="278" w:before="0" w:after="160"/>
              <w:jc w:val="start"/>
              <w:cnfStyle w:val="000000000000" w:firstRow="0" w:lastRow="0" w:firstColumn="0" w:lastColumn="0" w:oddVBand="0" w:evenVBand="0" w:oddHBand="0" w:evenHBand="0" w:firstRowFirstColumn="0" w:firstRowLastColumn="0" w:lastRowFirstColumn="0" w:lastRowLastColumn="0"/>
              <w:rPr>
                <w:kern w:val="2"/>
                <w:lang w:eastAsia="en-US" w:bidi="ar-SA"/>
              </w:rPr>
            </w:pPr>
            <w:r>
              <w:rPr>
                <w:kern w:val="2"/>
                <w:lang w:eastAsia="en-US" w:bidi="ar-SA"/>
              </w:rPr>
              <w:t>Hourly</w:t>
            </w:r>
          </w:p>
        </w:tc>
        <w:tc>
          <w:tcPr>
            <w:tcW w:w="2186" w:type="dxa"/>
            <w:tcBorders/>
          </w:tcPr>
          <w:p>
            <w:pPr>
              <w:pStyle w:val="Normal"/>
              <w:widowControl/>
              <w:spacing w:lineRule="auto" w:line="278" w:before="0" w:after="160"/>
              <w:jc w:val="start"/>
              <w:cnfStyle w:val="000000000000" w:firstRow="0" w:lastRow="0" w:firstColumn="0" w:lastColumn="0" w:oddVBand="0" w:evenVBand="0" w:oddHBand="0" w:evenHBand="0" w:firstRowFirstColumn="0" w:firstRowLastColumn="0" w:lastRowFirstColumn="0" w:lastRowLastColumn="0"/>
              <w:rPr>
                <w:kern w:val="2"/>
                <w:lang w:eastAsia="en-US" w:bidi="ar-SA"/>
              </w:rPr>
            </w:pPr>
            <w:r>
              <w:rPr>
                <w:kern w:val="2"/>
                <w:lang w:eastAsia="en-US" w:bidi="ar-SA"/>
              </w:rPr>
              <w:t>Used for model calibration, validation, and AI-based forecast correction</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5" w:type="dxa"/>
            <w:tcBorders/>
            <w:shd w:color="auto" w:fill="F2F2F2" w:themeFill="background1" w:themeFillShade="f2" w:val="clear"/>
          </w:tcPr>
          <w:p>
            <w:pPr>
              <w:pStyle w:val="Normal"/>
              <w:widowControl/>
              <w:spacing w:lineRule="auto" w:line="278" w:before="0" w:after="160"/>
              <w:jc w:val="start"/>
              <w:rPr>
                <w:b/>
                <w:bCs/>
                <w:kern w:val="2"/>
                <w:lang w:eastAsia="en-US" w:bidi="ar-SA"/>
              </w:rPr>
            </w:pPr>
            <w:r>
              <w:rPr>
                <w:b/>
                <w:bCs/>
                <w:kern w:val="2"/>
                <w:lang w:eastAsia="en-US" w:bidi="ar-SA"/>
              </w:rPr>
              <w:t>Meteorological Data</w:t>
            </w:r>
          </w:p>
        </w:tc>
        <w:tc>
          <w:tcPr>
            <w:tcW w:w="2451" w:type="dxa"/>
            <w:tcBorders/>
            <w:shd w:color="auto" w:fill="F2F2F2" w:themeFill="background1" w:themeFillShade="f2" w:val="clear"/>
          </w:tcPr>
          <w:p>
            <w:pPr>
              <w:pStyle w:val="Normal"/>
              <w:widowControl/>
              <w:spacing w:lineRule="auto" w:line="278" w:before="0" w:after="160"/>
              <w:jc w:val="start"/>
              <w:cnfStyle w:val="000000100000" w:firstRow="0" w:lastRow="0" w:firstColumn="0" w:lastColumn="0" w:oddVBand="0" w:evenVBand="0" w:oddHBand="1" w:evenHBand="0" w:firstRowFirstColumn="0" w:firstRowLastColumn="0" w:lastRowFirstColumn="0" w:lastRowLastColumn="0"/>
              <w:rPr>
                <w:kern w:val="2"/>
                <w:lang w:eastAsia="en-US" w:bidi="ar-SA"/>
              </w:rPr>
            </w:pPr>
            <w:r>
              <w:rPr>
                <w:kern w:val="2"/>
                <w:lang w:eastAsia="en-US" w:bidi="ar-SA"/>
              </w:rPr>
              <w:t>WRF meteorological model outputs</w:t>
            </w:r>
          </w:p>
        </w:tc>
        <w:tc>
          <w:tcPr>
            <w:tcW w:w="1843" w:type="dxa"/>
            <w:tcBorders/>
            <w:shd w:color="auto" w:fill="F2F2F2" w:themeFill="background1" w:themeFillShade="f2" w:val="clear"/>
          </w:tcPr>
          <w:p>
            <w:pPr>
              <w:pStyle w:val="Normal"/>
              <w:widowControl/>
              <w:spacing w:lineRule="auto" w:line="278" w:before="0" w:after="160"/>
              <w:jc w:val="start"/>
              <w:cnfStyle w:val="000000100000" w:firstRow="0" w:lastRow="0" w:firstColumn="0" w:lastColumn="0" w:oddVBand="0" w:evenVBand="0" w:oddHBand="1" w:evenHBand="0" w:firstRowFirstColumn="0" w:firstRowLastColumn="0" w:lastRowFirstColumn="0" w:lastRowLastColumn="0"/>
              <w:rPr>
                <w:kern w:val="2"/>
                <w:lang w:eastAsia="en-US" w:bidi="ar-SA"/>
              </w:rPr>
            </w:pPr>
            <w:r>
              <w:rPr>
                <w:kern w:val="2"/>
                <w:lang w:eastAsia="en-US" w:bidi="ar-SA"/>
              </w:rPr>
              <w:t>Gridded meteorological variables</w:t>
            </w:r>
          </w:p>
        </w:tc>
        <w:tc>
          <w:tcPr>
            <w:tcW w:w="1235" w:type="dxa"/>
            <w:tcBorders/>
            <w:shd w:color="auto" w:fill="F2F2F2" w:themeFill="background1" w:themeFillShade="f2" w:val="clear"/>
          </w:tcPr>
          <w:p>
            <w:pPr>
              <w:pStyle w:val="Normal"/>
              <w:widowControl/>
              <w:spacing w:lineRule="auto" w:line="278" w:before="0" w:after="160"/>
              <w:jc w:val="start"/>
              <w:cnfStyle w:val="000000100000" w:firstRow="0" w:lastRow="0" w:firstColumn="0" w:lastColumn="0" w:oddVBand="0" w:evenVBand="0" w:oddHBand="1" w:evenHBand="0" w:firstRowFirstColumn="0" w:firstRowLastColumn="0" w:lastRowFirstColumn="0" w:lastRowLastColumn="0"/>
              <w:rPr>
                <w:kern w:val="2"/>
                <w:lang w:eastAsia="en-US" w:bidi="ar-SA"/>
              </w:rPr>
            </w:pPr>
            <w:r>
              <w:rPr>
                <w:kern w:val="2"/>
                <w:lang w:eastAsia="en-US" w:bidi="ar-SA"/>
              </w:rPr>
              <w:t>Hourly</w:t>
            </w:r>
          </w:p>
        </w:tc>
        <w:tc>
          <w:tcPr>
            <w:tcW w:w="2186" w:type="dxa"/>
            <w:tcBorders/>
            <w:shd w:color="auto" w:fill="F2F2F2" w:themeFill="background1" w:themeFillShade="f2" w:val="clear"/>
          </w:tcPr>
          <w:p>
            <w:pPr>
              <w:pStyle w:val="Normal"/>
              <w:widowControl/>
              <w:spacing w:lineRule="auto" w:line="278" w:before="0" w:after="160"/>
              <w:jc w:val="start"/>
              <w:cnfStyle w:val="000000100000" w:firstRow="0" w:lastRow="0" w:firstColumn="0" w:lastColumn="0" w:oddVBand="0" w:evenVBand="0" w:oddHBand="1" w:evenHBand="0" w:firstRowFirstColumn="0" w:firstRowLastColumn="0" w:lastRowFirstColumn="0" w:lastRowLastColumn="0"/>
              <w:rPr>
                <w:kern w:val="2"/>
                <w:lang w:eastAsia="en-US" w:bidi="ar-SA"/>
              </w:rPr>
            </w:pPr>
            <w:r>
              <w:rPr>
                <w:kern w:val="2"/>
                <w:lang w:eastAsia="en-US" w:bidi="ar-SA"/>
              </w:rPr>
              <w:t>Supports atmospheric dispersion modelling</w:t>
            </w:r>
          </w:p>
        </w:tc>
      </w:tr>
      <w:tr>
        <w:trPr/>
        <w:tc>
          <w:tcPr>
            <w:cnfStyle w:val="001000000000" w:firstRow="0" w:lastRow="0" w:firstColumn="1" w:lastColumn="0" w:oddVBand="0" w:evenVBand="0" w:oddHBand="0" w:evenHBand="0" w:firstRowFirstColumn="0" w:firstRowLastColumn="0" w:lastRowFirstColumn="0" w:lastRowLastColumn="0"/>
            <w:tcW w:w="1635" w:type="dxa"/>
            <w:tcBorders/>
          </w:tcPr>
          <w:p>
            <w:pPr>
              <w:pStyle w:val="Normal"/>
              <w:widowControl/>
              <w:spacing w:lineRule="auto" w:line="278" w:before="0" w:after="160"/>
              <w:jc w:val="start"/>
              <w:rPr>
                <w:b/>
                <w:bCs/>
                <w:kern w:val="2"/>
                <w:lang w:eastAsia="en-US" w:bidi="ar-SA"/>
              </w:rPr>
            </w:pPr>
            <w:r>
              <w:rPr>
                <w:b/>
                <w:bCs/>
                <w:kern w:val="2"/>
                <w:lang w:eastAsia="en-US" w:bidi="ar-SA"/>
              </w:rPr>
              <w:t>Road Network Data</w:t>
            </w:r>
          </w:p>
        </w:tc>
        <w:tc>
          <w:tcPr>
            <w:tcW w:w="2451" w:type="dxa"/>
            <w:tcBorders/>
          </w:tcPr>
          <w:p>
            <w:pPr>
              <w:pStyle w:val="Normal"/>
              <w:widowControl/>
              <w:spacing w:lineRule="auto" w:line="278" w:before="0" w:after="160"/>
              <w:jc w:val="start"/>
              <w:cnfStyle w:val="000000000000" w:firstRow="0" w:lastRow="0" w:firstColumn="0" w:lastColumn="0" w:oddVBand="0" w:evenVBand="0" w:oddHBand="0" w:evenHBand="0" w:firstRowFirstColumn="0" w:firstRowLastColumn="0" w:lastRowFirstColumn="0" w:lastRowLastColumn="0"/>
              <w:rPr>
                <w:kern w:val="2"/>
                <w:lang w:eastAsia="en-US" w:bidi="ar-SA"/>
              </w:rPr>
            </w:pPr>
            <w:r>
              <w:rPr>
                <w:kern w:val="2"/>
                <w:lang w:eastAsia="en-US" w:bidi="ar-SA"/>
              </w:rPr>
              <w:t>OpenStreetMap processed via OSMnx</w:t>
            </w:r>
          </w:p>
        </w:tc>
        <w:tc>
          <w:tcPr>
            <w:tcW w:w="1843" w:type="dxa"/>
            <w:tcBorders/>
          </w:tcPr>
          <w:p>
            <w:pPr>
              <w:pStyle w:val="Normal"/>
              <w:widowControl/>
              <w:spacing w:lineRule="auto" w:line="278" w:before="0" w:after="160"/>
              <w:jc w:val="start"/>
              <w:cnfStyle w:val="000000000000" w:firstRow="0" w:lastRow="0" w:firstColumn="0" w:lastColumn="0" w:oddVBand="0" w:evenVBand="0" w:oddHBand="0" w:evenHBand="0" w:firstRowFirstColumn="0" w:firstRowLastColumn="0" w:lastRowFirstColumn="0" w:lastRowLastColumn="0"/>
              <w:rPr>
                <w:kern w:val="2"/>
                <w:lang w:eastAsia="en-US" w:bidi="ar-SA"/>
              </w:rPr>
            </w:pPr>
            <w:r>
              <w:rPr>
                <w:kern w:val="2"/>
                <w:lang w:eastAsia="en-US" w:bidi="ar-SA"/>
              </w:rPr>
              <w:t>Graph representation (nodes and edges)</w:t>
            </w:r>
          </w:p>
        </w:tc>
        <w:tc>
          <w:tcPr>
            <w:tcW w:w="1235" w:type="dxa"/>
            <w:tcBorders/>
          </w:tcPr>
          <w:p>
            <w:pPr>
              <w:pStyle w:val="Normal"/>
              <w:widowControl/>
              <w:spacing w:lineRule="auto" w:line="278" w:before="0" w:after="160"/>
              <w:jc w:val="start"/>
              <w:cnfStyle w:val="000000000000" w:firstRow="0" w:lastRow="0" w:firstColumn="0" w:lastColumn="0" w:oddVBand="0" w:evenVBand="0" w:oddHBand="0" w:evenHBand="0" w:firstRowFirstColumn="0" w:firstRowLastColumn="0" w:lastRowFirstColumn="0" w:lastRowLastColumn="0"/>
              <w:rPr>
                <w:kern w:val="2"/>
                <w:lang w:eastAsia="en-US" w:bidi="ar-SA"/>
              </w:rPr>
            </w:pPr>
            <w:r>
              <w:rPr>
                <w:kern w:val="2"/>
                <w:lang w:eastAsia="en-US" w:bidi="ar-SA"/>
              </w:rPr>
              <w:t>Periodic updates</w:t>
            </w:r>
          </w:p>
        </w:tc>
        <w:tc>
          <w:tcPr>
            <w:tcW w:w="2186" w:type="dxa"/>
            <w:tcBorders/>
          </w:tcPr>
          <w:p>
            <w:pPr>
              <w:pStyle w:val="Normal"/>
              <w:widowControl/>
              <w:spacing w:lineRule="auto" w:line="278" w:before="0" w:after="160"/>
              <w:jc w:val="start"/>
              <w:cnfStyle w:val="000000000000" w:firstRow="0" w:lastRow="0" w:firstColumn="0" w:lastColumn="0" w:oddVBand="0" w:evenVBand="0" w:oddHBand="0" w:evenHBand="0" w:firstRowFirstColumn="0" w:firstRowLastColumn="0" w:lastRowFirstColumn="0" w:lastRowLastColumn="0"/>
              <w:rPr>
                <w:kern w:val="2"/>
                <w:lang w:eastAsia="en-US" w:bidi="ar-SA"/>
              </w:rPr>
            </w:pPr>
            <w:r>
              <w:rPr>
                <w:kern w:val="2"/>
                <w:lang w:eastAsia="en-US" w:bidi="ar-SA"/>
              </w:rPr>
              <w:t>Provides the spatial network structure used for routing</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5" w:type="dxa"/>
            <w:tcBorders/>
            <w:shd w:color="auto" w:fill="F2F2F2" w:themeFill="background1" w:themeFillShade="f2" w:val="clear"/>
          </w:tcPr>
          <w:p>
            <w:pPr>
              <w:pStyle w:val="Normal"/>
              <w:widowControl/>
              <w:spacing w:lineRule="auto" w:line="278" w:before="0" w:after="160"/>
              <w:jc w:val="start"/>
              <w:rPr>
                <w:b/>
                <w:bCs/>
                <w:kern w:val="2"/>
                <w:lang w:eastAsia="en-US" w:bidi="ar-SA"/>
              </w:rPr>
            </w:pPr>
            <w:r>
              <w:rPr>
                <w:b/>
                <w:bCs/>
                <w:kern w:val="2"/>
                <w:lang w:eastAsia="en-US" w:bidi="ar-SA"/>
              </w:rPr>
              <w:t>Urban Mobility Data</w:t>
            </w:r>
          </w:p>
        </w:tc>
        <w:tc>
          <w:tcPr>
            <w:tcW w:w="2451" w:type="dxa"/>
            <w:tcBorders/>
            <w:shd w:color="auto" w:fill="F2F2F2" w:themeFill="background1" w:themeFillShade="f2" w:val="clear"/>
          </w:tcPr>
          <w:p>
            <w:pPr>
              <w:pStyle w:val="Normal"/>
              <w:widowControl/>
              <w:spacing w:lineRule="auto" w:line="278" w:before="0" w:after="160"/>
              <w:jc w:val="start"/>
              <w:cnfStyle w:val="000000100000" w:firstRow="0" w:lastRow="0" w:firstColumn="0" w:lastColumn="0" w:oddVBand="0" w:evenVBand="0" w:oddHBand="1" w:evenHBand="0" w:firstRowFirstColumn="0" w:firstRowLastColumn="0" w:lastRowFirstColumn="0" w:lastRowLastColumn="0"/>
              <w:rPr>
                <w:kern w:val="2"/>
                <w:lang w:eastAsia="en-US" w:bidi="ar-SA"/>
              </w:rPr>
            </w:pPr>
            <w:r>
              <w:rPr>
                <w:kern w:val="2"/>
                <w:lang w:eastAsia="en-US" w:bidi="ar-SA"/>
              </w:rPr>
              <w:t>Thessaloniki Smart Mobility Living Lab (CERTH/HIT)</w:t>
            </w:r>
          </w:p>
        </w:tc>
        <w:tc>
          <w:tcPr>
            <w:tcW w:w="1843" w:type="dxa"/>
            <w:tcBorders/>
            <w:shd w:color="auto" w:fill="F2F2F2" w:themeFill="background1" w:themeFillShade="f2" w:val="clear"/>
          </w:tcPr>
          <w:p>
            <w:pPr>
              <w:pStyle w:val="Normal"/>
              <w:widowControl/>
              <w:spacing w:lineRule="auto" w:line="278" w:before="0" w:after="160"/>
              <w:jc w:val="start"/>
              <w:cnfStyle w:val="000000100000" w:firstRow="0" w:lastRow="0" w:firstColumn="0" w:lastColumn="0" w:oddVBand="0" w:evenVBand="0" w:oddHBand="1" w:evenHBand="0" w:firstRowFirstColumn="0" w:firstRowLastColumn="0" w:lastRowFirstColumn="0" w:lastRowLastColumn="0"/>
              <w:rPr>
                <w:kern w:val="2"/>
                <w:lang w:eastAsia="en-US" w:bidi="ar-SA"/>
              </w:rPr>
            </w:pPr>
            <w:r>
              <w:rPr>
                <w:kern w:val="2"/>
                <w:lang w:eastAsia="en-US" w:bidi="ar-SA"/>
              </w:rPr>
              <w:t>Traffic indicators, mobility infrastructure data, public transport context, micromobility infrastructure</w:t>
            </w:r>
          </w:p>
        </w:tc>
        <w:tc>
          <w:tcPr>
            <w:tcW w:w="1235" w:type="dxa"/>
            <w:tcBorders/>
            <w:shd w:color="auto" w:fill="F2F2F2" w:themeFill="background1" w:themeFillShade="f2" w:val="clear"/>
          </w:tcPr>
          <w:p>
            <w:pPr>
              <w:pStyle w:val="Normal"/>
              <w:widowControl/>
              <w:spacing w:lineRule="auto" w:line="278" w:before="0" w:after="160"/>
              <w:jc w:val="start"/>
              <w:cnfStyle w:val="000000100000" w:firstRow="0" w:lastRow="0" w:firstColumn="0" w:lastColumn="0" w:oddVBand="0" w:evenVBand="0" w:oddHBand="1" w:evenHBand="0" w:firstRowFirstColumn="0" w:firstRowLastColumn="0" w:lastRowFirstColumn="0" w:lastRowLastColumn="0"/>
              <w:rPr>
                <w:kern w:val="2"/>
                <w:lang w:eastAsia="en-US" w:bidi="ar-SA"/>
              </w:rPr>
            </w:pPr>
            <w:r>
              <w:rPr>
                <w:kern w:val="2"/>
                <w:lang w:eastAsia="en-US" w:bidi="ar-SA"/>
              </w:rPr>
              <w:t>Periodic updates</w:t>
            </w:r>
          </w:p>
        </w:tc>
        <w:tc>
          <w:tcPr>
            <w:tcW w:w="2186" w:type="dxa"/>
            <w:tcBorders/>
            <w:shd w:color="auto" w:fill="F2F2F2" w:themeFill="background1" w:themeFillShade="f2" w:val="clear"/>
          </w:tcPr>
          <w:p>
            <w:pPr>
              <w:pStyle w:val="Normal"/>
              <w:widowControl/>
              <w:spacing w:lineRule="auto" w:line="278" w:before="0" w:after="160"/>
              <w:jc w:val="start"/>
              <w:cnfStyle w:val="000000100000" w:firstRow="0" w:lastRow="0" w:firstColumn="0" w:lastColumn="0" w:oddVBand="0" w:evenVBand="0" w:oddHBand="1" w:evenHBand="0" w:firstRowFirstColumn="0" w:firstRowLastColumn="0" w:lastRowFirstColumn="0" w:lastRowLastColumn="0"/>
              <w:rPr>
                <w:kern w:val="2"/>
                <w:lang w:eastAsia="en-US" w:bidi="ar-SA"/>
              </w:rPr>
            </w:pPr>
            <w:r>
              <w:rPr>
                <w:kern w:val="2"/>
                <w:lang w:eastAsia="en-US" w:bidi="ar-SA"/>
              </w:rPr>
              <w:t>Provides urban mobility datasets used for multimodal routing, traffic context analysis and pollutant downscaling</w:t>
            </w:r>
          </w:p>
        </w:tc>
      </w:tr>
      <w:tr>
        <w:trPr/>
        <w:tc>
          <w:tcPr>
            <w:cnfStyle w:val="001000000000" w:firstRow="0" w:lastRow="0" w:firstColumn="1" w:lastColumn="0" w:oddVBand="0" w:evenVBand="0" w:oddHBand="0" w:evenHBand="0" w:firstRowFirstColumn="0" w:firstRowLastColumn="0" w:lastRowFirstColumn="0" w:lastRowLastColumn="0"/>
            <w:tcW w:w="1635" w:type="dxa"/>
            <w:tcBorders/>
          </w:tcPr>
          <w:p>
            <w:pPr>
              <w:pStyle w:val="Normal"/>
              <w:widowControl/>
              <w:spacing w:lineRule="auto" w:line="278" w:before="0" w:after="160"/>
              <w:jc w:val="start"/>
              <w:rPr>
                <w:b/>
                <w:bCs/>
                <w:kern w:val="2"/>
                <w:lang w:eastAsia="en-US" w:bidi="ar-SA"/>
              </w:rPr>
            </w:pPr>
            <w:r>
              <w:rPr>
                <w:b/>
                <w:bCs/>
                <w:kern w:val="2"/>
                <w:lang w:eastAsia="en-US" w:bidi="ar-SA"/>
              </w:rPr>
              <w:t>User Behaviour Data</w:t>
            </w:r>
          </w:p>
        </w:tc>
        <w:tc>
          <w:tcPr>
            <w:tcW w:w="2451" w:type="dxa"/>
            <w:tcBorders/>
          </w:tcPr>
          <w:p>
            <w:pPr>
              <w:pStyle w:val="Normal"/>
              <w:widowControl/>
              <w:spacing w:lineRule="auto" w:line="278" w:before="0" w:after="160"/>
              <w:jc w:val="start"/>
              <w:cnfStyle w:val="000000000000" w:firstRow="0" w:lastRow="0" w:firstColumn="0" w:lastColumn="0" w:oddVBand="0" w:evenVBand="0" w:oddHBand="0" w:evenHBand="0" w:firstRowFirstColumn="0" w:firstRowLastColumn="0" w:lastRowFirstColumn="0" w:lastRowLastColumn="0"/>
              <w:rPr>
                <w:kern w:val="2"/>
                <w:lang w:eastAsia="en-US" w:bidi="ar-SA"/>
              </w:rPr>
            </w:pPr>
            <w:r>
              <w:rPr>
                <w:kern w:val="2"/>
                <w:lang w:eastAsia="en-US" w:bidi="ar-SA"/>
              </w:rPr>
              <w:t>MOBILAIR mobile application</w:t>
            </w:r>
          </w:p>
        </w:tc>
        <w:tc>
          <w:tcPr>
            <w:tcW w:w="1843" w:type="dxa"/>
            <w:tcBorders/>
          </w:tcPr>
          <w:p>
            <w:pPr>
              <w:pStyle w:val="Normal"/>
              <w:widowControl/>
              <w:spacing w:lineRule="auto" w:line="278" w:before="0" w:after="160"/>
              <w:jc w:val="start"/>
              <w:cnfStyle w:val="000000000000" w:firstRow="0" w:lastRow="0" w:firstColumn="0" w:lastColumn="0" w:oddVBand="0" w:evenVBand="0" w:oddHBand="0" w:evenHBand="0" w:firstRowFirstColumn="0" w:firstRowLastColumn="0" w:lastRowFirstColumn="0" w:lastRowLastColumn="0"/>
              <w:rPr>
                <w:kern w:val="2"/>
                <w:lang w:eastAsia="en-US" w:bidi="ar-SA"/>
              </w:rPr>
            </w:pPr>
            <w:r>
              <w:rPr>
                <w:kern w:val="2"/>
                <w:lang w:eastAsia="en-US" w:bidi="ar-SA"/>
              </w:rPr>
              <w:t>Anonymised interaction records</w:t>
            </w:r>
          </w:p>
        </w:tc>
        <w:tc>
          <w:tcPr>
            <w:tcW w:w="1235" w:type="dxa"/>
            <w:tcBorders/>
          </w:tcPr>
          <w:p>
            <w:pPr>
              <w:pStyle w:val="Normal"/>
              <w:widowControl/>
              <w:spacing w:lineRule="auto" w:line="278" w:before="0" w:after="160"/>
              <w:jc w:val="start"/>
              <w:cnfStyle w:val="000000000000" w:firstRow="0" w:lastRow="0" w:firstColumn="0" w:lastColumn="0" w:oddVBand="0" w:evenVBand="0" w:oddHBand="0" w:evenHBand="0" w:firstRowFirstColumn="0" w:firstRowLastColumn="0" w:lastRowFirstColumn="0" w:lastRowLastColumn="0"/>
              <w:rPr>
                <w:kern w:val="2"/>
                <w:lang w:eastAsia="en-US" w:bidi="ar-SA"/>
              </w:rPr>
            </w:pPr>
            <w:r>
              <w:rPr>
                <w:kern w:val="2"/>
                <w:lang w:eastAsia="en-US" w:bidi="ar-SA"/>
              </w:rPr>
              <w:t>Continuous</w:t>
            </w:r>
          </w:p>
        </w:tc>
        <w:tc>
          <w:tcPr>
            <w:tcW w:w="2186" w:type="dxa"/>
            <w:tcBorders/>
          </w:tcPr>
          <w:p>
            <w:pPr>
              <w:pStyle w:val="Normal"/>
              <w:widowControl/>
              <w:spacing w:lineRule="auto" w:line="278" w:before="0" w:after="160"/>
              <w:jc w:val="start"/>
              <w:cnfStyle w:val="000000000000" w:firstRow="0" w:lastRow="0" w:firstColumn="0" w:lastColumn="0" w:oddVBand="0" w:evenVBand="0" w:oddHBand="0" w:evenHBand="0" w:firstRowFirstColumn="0" w:firstRowLastColumn="0" w:lastRowFirstColumn="0" w:lastRowLastColumn="0"/>
              <w:rPr>
                <w:kern w:val="2"/>
                <w:lang w:eastAsia="en-US" w:bidi="ar-SA"/>
              </w:rPr>
            </w:pPr>
            <w:r>
              <w:rPr>
                <w:kern w:val="2"/>
                <w:lang w:eastAsia="en-US" w:bidi="ar-SA"/>
              </w:rPr>
              <w:t>Supports personalised mobility recommendations and behavioural analytics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5" w:type="dxa"/>
            <w:tcBorders/>
            <w:shd w:color="auto" w:fill="F2F2F2" w:themeFill="background1" w:themeFillShade="f2" w:val="clear"/>
          </w:tcPr>
          <w:p>
            <w:pPr>
              <w:pStyle w:val="Normal"/>
              <w:widowControl/>
              <w:spacing w:lineRule="auto" w:line="278" w:before="0" w:after="160"/>
              <w:jc w:val="start"/>
              <w:rPr>
                <w:b/>
                <w:bCs/>
                <w:kern w:val="2"/>
                <w:lang w:eastAsia="en-US" w:bidi="ar-SA"/>
              </w:rPr>
            </w:pPr>
            <w:r>
              <w:rPr>
                <w:b/>
                <w:bCs/>
                <w:kern w:val="2"/>
                <w:lang w:eastAsia="en-US" w:bidi="ar-SA"/>
              </w:rPr>
              <w:t>Engagement Data</w:t>
            </w:r>
          </w:p>
        </w:tc>
        <w:tc>
          <w:tcPr>
            <w:tcW w:w="2451" w:type="dxa"/>
            <w:tcBorders/>
            <w:shd w:color="auto" w:fill="F2F2F2" w:themeFill="background1" w:themeFillShade="f2" w:val="clear"/>
          </w:tcPr>
          <w:p>
            <w:pPr>
              <w:pStyle w:val="Normal"/>
              <w:widowControl/>
              <w:spacing w:lineRule="auto" w:line="278" w:before="0" w:after="160"/>
              <w:jc w:val="start"/>
              <w:cnfStyle w:val="000000100000" w:firstRow="0" w:lastRow="0" w:firstColumn="0" w:lastColumn="0" w:oddVBand="0" w:evenVBand="0" w:oddHBand="1" w:evenHBand="0" w:firstRowFirstColumn="0" w:firstRowLastColumn="0" w:lastRowFirstColumn="0" w:lastRowLastColumn="0"/>
              <w:rPr>
                <w:kern w:val="2"/>
                <w:lang w:eastAsia="en-US" w:bidi="ar-SA"/>
              </w:rPr>
            </w:pPr>
            <w:r>
              <w:rPr>
                <w:kern w:val="2"/>
                <w:lang w:eastAsia="en-US" w:bidi="ar-SA"/>
              </w:rPr>
              <w:t>Gamification modules, surveys, and quizzes</w:t>
            </w:r>
          </w:p>
        </w:tc>
        <w:tc>
          <w:tcPr>
            <w:tcW w:w="1843" w:type="dxa"/>
            <w:tcBorders/>
            <w:shd w:color="auto" w:fill="F2F2F2" w:themeFill="background1" w:themeFillShade="f2" w:val="clear"/>
          </w:tcPr>
          <w:p>
            <w:pPr>
              <w:pStyle w:val="Normal"/>
              <w:widowControl/>
              <w:spacing w:lineRule="auto" w:line="278" w:before="0" w:after="160"/>
              <w:jc w:val="start"/>
              <w:cnfStyle w:val="000000100000" w:firstRow="0" w:lastRow="0" w:firstColumn="0" w:lastColumn="0" w:oddVBand="0" w:evenVBand="0" w:oddHBand="1" w:evenHBand="0" w:firstRowFirstColumn="0" w:firstRowLastColumn="0" w:lastRowFirstColumn="0" w:lastRowLastColumn="0"/>
              <w:rPr>
                <w:kern w:val="2"/>
                <w:lang w:eastAsia="en-US" w:bidi="ar-SA"/>
              </w:rPr>
            </w:pPr>
            <w:r>
              <w:rPr>
                <w:kern w:val="2"/>
                <w:lang w:eastAsia="en-US" w:bidi="ar-SA"/>
              </w:rPr>
              <w:t>User interaction datasets</w:t>
            </w:r>
          </w:p>
        </w:tc>
        <w:tc>
          <w:tcPr>
            <w:tcW w:w="1235" w:type="dxa"/>
            <w:tcBorders/>
            <w:shd w:color="auto" w:fill="F2F2F2" w:themeFill="background1" w:themeFillShade="f2" w:val="clear"/>
          </w:tcPr>
          <w:p>
            <w:pPr>
              <w:pStyle w:val="Normal"/>
              <w:widowControl/>
              <w:spacing w:lineRule="auto" w:line="278" w:before="0" w:after="160"/>
              <w:jc w:val="start"/>
              <w:cnfStyle w:val="000000100000" w:firstRow="0" w:lastRow="0" w:firstColumn="0" w:lastColumn="0" w:oddVBand="0" w:evenVBand="0" w:oddHBand="1" w:evenHBand="0" w:firstRowFirstColumn="0" w:firstRowLastColumn="0" w:lastRowFirstColumn="0" w:lastRowLastColumn="0"/>
              <w:rPr>
                <w:kern w:val="2"/>
                <w:lang w:eastAsia="en-US" w:bidi="ar-SA"/>
              </w:rPr>
            </w:pPr>
            <w:r>
              <w:rPr>
                <w:kern w:val="2"/>
                <w:lang w:eastAsia="en-US" w:bidi="ar-SA"/>
              </w:rPr>
              <w:t>Continuous</w:t>
            </w:r>
          </w:p>
        </w:tc>
        <w:tc>
          <w:tcPr>
            <w:tcW w:w="2186" w:type="dxa"/>
            <w:tcBorders/>
            <w:shd w:color="auto" w:fill="F2F2F2" w:themeFill="background1" w:themeFillShade="f2" w:val="clear"/>
          </w:tcPr>
          <w:p>
            <w:pPr>
              <w:pStyle w:val="Normal"/>
              <w:widowControl/>
              <w:spacing w:lineRule="auto" w:line="278" w:before="0" w:after="160"/>
              <w:jc w:val="start"/>
              <w:cnfStyle w:val="000000100000" w:firstRow="0" w:lastRow="0" w:firstColumn="0" w:lastColumn="0" w:oddVBand="0" w:evenVBand="0" w:oddHBand="1" w:evenHBand="0" w:firstRowFirstColumn="0" w:firstRowLastColumn="0" w:lastRowFirstColumn="0" w:lastRowLastColumn="0"/>
              <w:rPr>
                <w:kern w:val="2"/>
                <w:lang w:eastAsia="en-US" w:bidi="ar-SA"/>
              </w:rPr>
            </w:pPr>
            <w:r>
              <w:rPr>
                <w:kern w:val="2"/>
                <w:lang w:eastAsia="en-US" w:bidi="ar-SA"/>
              </w:rPr>
              <w:t>Supports evaluation of behavioural nudging strategies</w:t>
            </w:r>
          </w:p>
        </w:tc>
      </w:tr>
      <w:tr>
        <w:trPr/>
        <w:tc>
          <w:tcPr>
            <w:cnfStyle w:val="001000000000" w:firstRow="0" w:lastRow="0" w:firstColumn="1" w:lastColumn="0" w:oddVBand="0" w:evenVBand="0" w:oddHBand="0" w:evenHBand="0" w:firstRowFirstColumn="0" w:firstRowLastColumn="0" w:lastRowFirstColumn="0" w:lastRowLastColumn="0"/>
            <w:tcW w:w="1635" w:type="dxa"/>
            <w:tcBorders/>
          </w:tcPr>
          <w:p>
            <w:pPr>
              <w:pStyle w:val="Normal"/>
              <w:widowControl/>
              <w:spacing w:lineRule="auto" w:line="278" w:before="0" w:after="160"/>
              <w:jc w:val="start"/>
              <w:rPr>
                <w:b/>
                <w:bCs/>
                <w:kern w:val="2"/>
                <w:lang w:eastAsia="en-US" w:bidi="ar-SA"/>
              </w:rPr>
            </w:pPr>
            <w:r>
              <w:rPr>
                <w:b/>
                <w:bCs/>
                <w:kern w:val="2"/>
                <w:lang w:eastAsia="en-US" w:bidi="ar-SA"/>
              </w:rPr>
              <w:t>Environmental Indicators</w:t>
            </w:r>
          </w:p>
        </w:tc>
        <w:tc>
          <w:tcPr>
            <w:tcW w:w="2451" w:type="dxa"/>
            <w:tcBorders/>
          </w:tcPr>
          <w:p>
            <w:pPr>
              <w:pStyle w:val="Normal"/>
              <w:widowControl/>
              <w:spacing w:lineRule="auto" w:line="278" w:before="0" w:after="160"/>
              <w:jc w:val="start"/>
              <w:cnfStyle w:val="000000000000" w:firstRow="0" w:lastRow="0" w:firstColumn="0" w:lastColumn="0" w:oddVBand="0" w:evenVBand="0" w:oddHBand="0" w:evenHBand="0" w:firstRowFirstColumn="0" w:firstRowLastColumn="0" w:lastRowFirstColumn="0" w:lastRowLastColumn="0"/>
              <w:rPr>
                <w:kern w:val="2"/>
                <w:lang w:eastAsia="en-US" w:bidi="ar-SA"/>
              </w:rPr>
            </w:pPr>
            <w:r>
              <w:rPr>
                <w:kern w:val="2"/>
                <w:lang w:eastAsia="en-US" w:bidi="ar-SA"/>
              </w:rPr>
              <w:t>Derived from modelling and observation datasets</w:t>
            </w:r>
          </w:p>
        </w:tc>
        <w:tc>
          <w:tcPr>
            <w:tcW w:w="1843" w:type="dxa"/>
            <w:tcBorders/>
          </w:tcPr>
          <w:p>
            <w:pPr>
              <w:pStyle w:val="Normal"/>
              <w:widowControl/>
              <w:spacing w:lineRule="auto" w:line="278" w:before="0" w:after="160"/>
              <w:jc w:val="start"/>
              <w:cnfStyle w:val="000000000000" w:firstRow="0" w:lastRow="0" w:firstColumn="0" w:lastColumn="0" w:oddVBand="0" w:evenVBand="0" w:oddHBand="0" w:evenHBand="0" w:firstRowFirstColumn="0" w:firstRowLastColumn="0" w:lastRowFirstColumn="0" w:lastRowLastColumn="0"/>
              <w:rPr>
                <w:kern w:val="2"/>
                <w:lang w:eastAsia="en-US" w:bidi="ar-SA"/>
              </w:rPr>
            </w:pPr>
            <w:r>
              <w:rPr>
                <w:kern w:val="2"/>
                <w:lang w:eastAsia="en-US" w:bidi="ar-SA"/>
              </w:rPr>
              <w:t>Processed environmental indicators</w:t>
            </w:r>
          </w:p>
        </w:tc>
        <w:tc>
          <w:tcPr>
            <w:tcW w:w="1235" w:type="dxa"/>
            <w:tcBorders/>
          </w:tcPr>
          <w:p>
            <w:pPr>
              <w:pStyle w:val="Normal"/>
              <w:widowControl/>
              <w:spacing w:lineRule="auto" w:line="278" w:before="0" w:after="160"/>
              <w:jc w:val="start"/>
              <w:cnfStyle w:val="000000000000" w:firstRow="0" w:lastRow="0" w:firstColumn="0" w:lastColumn="0" w:oddVBand="0" w:evenVBand="0" w:oddHBand="0" w:evenHBand="0" w:firstRowFirstColumn="0" w:firstRowLastColumn="0" w:lastRowFirstColumn="0" w:lastRowLastColumn="0"/>
              <w:rPr>
                <w:kern w:val="2"/>
                <w:lang w:eastAsia="en-US" w:bidi="ar-SA"/>
              </w:rPr>
            </w:pPr>
            <w:r>
              <w:rPr>
                <w:kern w:val="2"/>
                <w:lang w:eastAsia="en-US" w:bidi="ar-SA"/>
              </w:rPr>
              <w:t>Hourly</w:t>
            </w:r>
          </w:p>
        </w:tc>
        <w:tc>
          <w:tcPr>
            <w:tcW w:w="2186" w:type="dxa"/>
            <w:tcBorders/>
          </w:tcPr>
          <w:p>
            <w:pPr>
              <w:pStyle w:val="Normal"/>
              <w:widowControl/>
              <w:spacing w:lineRule="auto" w:line="278" w:before="0" w:after="160"/>
              <w:jc w:val="start"/>
              <w:cnfStyle w:val="000000000000" w:firstRow="0" w:lastRow="0" w:firstColumn="0" w:lastColumn="0" w:oddVBand="0" w:evenVBand="0" w:oddHBand="0" w:evenHBand="0" w:firstRowFirstColumn="0" w:firstRowLastColumn="0" w:lastRowFirstColumn="0" w:lastRowLastColumn="0"/>
              <w:rPr>
                <w:kern w:val="2"/>
                <w:lang w:eastAsia="en-US" w:bidi="ar-SA"/>
              </w:rPr>
            </w:pPr>
            <w:r>
              <w:rPr>
                <w:kern w:val="2"/>
                <w:lang w:eastAsia="en-US" w:bidi="ar-SA"/>
              </w:rPr>
              <w:t>Provides simplified air quality information for applications and dashboards</w:t>
            </w:r>
          </w:p>
        </w:tc>
      </w:tr>
    </w:tbl>
    <w:p>
      <w:pPr>
        <w:pStyle w:val="Heading1"/>
        <w:rPr/>
      </w:pPr>
      <w:r>
        <w:rPr/>
      </w:r>
    </w:p>
    <w:p>
      <w:pPr>
        <w:pStyle w:val="Normal"/>
        <w:spacing w:before="0" w:after="160"/>
        <w:jc w:val="start"/>
        <w:rPr>
          <w:b/>
          <w:bCs/>
          <w:color w:themeColor="accent1" w:themeShade="bf" w:val="0F4761"/>
        </w:rPr>
      </w:pPr>
      <w:r>
        <w:rPr>
          <w:b/>
          <w:bCs/>
          <w:color w:themeColor="accent1" w:themeShade="bf" w:val="0F4761"/>
        </w:rPr>
      </w:r>
      <w:r>
        <w:br w:type="page"/>
      </w:r>
    </w:p>
    <w:p>
      <w:pPr>
        <w:pStyle w:val="Heading1"/>
        <w:spacing w:before="0" w:after="480"/>
        <w:rPr/>
      </w:pPr>
      <w:bookmarkStart w:id="24" w:name="_Toc226020127"/>
      <w:bookmarkStart w:id="25" w:name="_Toc226016102"/>
      <w:bookmarkStart w:id="26" w:name="_Toc1725260629"/>
      <w:r>
        <w:rPr/>
        <w:t>2. Digitalisation of Urban mobility measures</w:t>
      </w:r>
      <w:bookmarkEnd w:id="15"/>
      <w:bookmarkEnd w:id="24"/>
      <w:bookmarkEnd w:id="25"/>
      <w:bookmarkEnd w:id="26"/>
    </w:p>
    <w:p>
      <w:pPr>
        <w:pStyle w:val="Heading2"/>
        <w:rPr/>
      </w:pPr>
      <w:bookmarkStart w:id="31" w:name="_Toc226020128"/>
      <w:bookmarkStart w:id="32" w:name="_Toc226016103"/>
      <w:bookmarkStart w:id="33" w:name="_Toc1830633618"/>
      <w:r>
        <w:drawing>
          <wp:anchor distT="0" distB="0" distL="0" distR="114300" simplePos="0" relativeHeight="57" behindDoc="0" locked="0" layoutInCell="0" allowOverlap="1" wp14:anchorId="166A14D9">
            <wp:simplePos x="0" y="0"/>
            <wp:positionH relativeFrom="margin">
              <wp:align>left</wp:align>
            </wp:positionH>
            <wp:positionV relativeFrom="paragraph">
              <wp:posOffset>470535</wp:posOffset>
            </wp:positionV>
            <wp:extent cx="5981700" cy="4772025"/>
            <wp:effectExtent l="0" t="0" r="0" b="0"/>
            <wp:wrapSquare wrapText="bothSides"/>
            <wp:docPr id="3" name="Diagram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anchor>
        </w:drawing>
        <mc:AlternateContent>
          <mc:Choice Requires="wps">
            <w:drawing>
              <wp:anchor distT="0" distB="9525" distL="113665" distR="123190" simplePos="0" relativeHeight="58" behindDoc="0" locked="0" layoutInCell="0" allowOverlap="1" wp14:anchorId="6B13843B">
                <wp:simplePos x="0" y="0"/>
                <wp:positionH relativeFrom="page">
                  <wp:posOffset>0</wp:posOffset>
                </wp:positionH>
                <wp:positionV relativeFrom="paragraph">
                  <wp:posOffset>5380990</wp:posOffset>
                </wp:positionV>
                <wp:extent cx="15955645" cy="238760"/>
                <wp:effectExtent l="635" t="0" r="0" b="0"/>
                <wp:wrapSquare wrapText="bothSides"/>
                <wp:docPr id="4" name="Text Box 1"/>
                <a:graphic xmlns:a="http://schemas.openxmlformats.org/drawingml/2006/main">
                  <a:graphicData uri="http://schemas.microsoft.com/office/word/2010/wordprocessingShape">
                    <wps:wsp>
                      <wps:cNvSpPr/>
                      <wps:spPr>
                        <a:xfrm>
                          <a:off x="0" y="0"/>
                          <a:ext cx="15955560" cy="238680"/>
                        </a:xfrm>
                        <a:prstGeom prst="rect">
                          <a:avLst/>
                        </a:prstGeom>
                        <a:solidFill>
                          <a:srgbClr val="FFFFFF"/>
                        </a:solidFill>
                        <a:ln w="0">
                          <a:noFill/>
                        </a:ln>
                      </wps:spPr>
                      <wps:style>
                        <a:lnRef idx="0"/>
                        <a:fillRef idx="0"/>
                        <a:effectRef idx="0"/>
                        <a:fontRef idx="minor"/>
                      </wps:style>
                      <wps:txbx>
                        <w:txbxContent>
                          <w:p>
                            <w:pPr>
                              <w:pStyle w:val="FrameContents"/>
                              <w:spacing w:before="80" w:after="120"/>
                              <w:rPr>
                                <w:sz w:val="20"/>
                                <w:szCs w:val="20"/>
                              </w:rPr>
                            </w:pPr>
                            <w:bookmarkStart w:id="27" w:name="_Toc226020109"/>
                            <w:bookmarkStart w:id="28" w:name="_Toc223347318"/>
                            <w:r>
                              <w:rPr>
                                <w:sz w:val="20"/>
                                <w:szCs w:val="20"/>
                              </w:rPr>
                              <w:t xml:space="preserve">Figure </w:t>
                            </w:r>
                            <w:r>
                              <w:rPr>
                                <w:sz w:val="20"/>
                                <w:szCs w:val="20"/>
                              </w:rPr>
                              <w:fldChar w:fldCharType="begin"/>
                            </w:r>
                            <w:r>
                              <w:rPr>
                                <w:sz w:val="20"/>
                                <w:szCs w:val="20"/>
                              </w:rPr>
                              <w:instrText xml:space="preserve"> SEQ Figure \* ARABIC </w:instrText>
                            </w:r>
                            <w:r>
                              <w:rPr>
                                <w:sz w:val="20"/>
                                <w:szCs w:val="20"/>
                              </w:rPr>
                              <w:fldChar w:fldCharType="separate"/>
                            </w:r>
                            <w:r>
                              <w:rPr>
                                <w:sz w:val="20"/>
                                <w:szCs w:val="20"/>
                              </w:rPr>
                              <w:t>1</w:t>
                            </w:r>
                            <w:r>
                              <w:rPr>
                                <w:sz w:val="20"/>
                                <w:szCs w:val="20"/>
                              </w:rPr>
                              <w:fldChar w:fldCharType="end"/>
                            </w:r>
                            <w:r>
                              <w:rPr>
                                <w:sz w:val="20"/>
                                <w:szCs w:val="20"/>
                              </w:rPr>
                              <w:t xml:space="preserve"> How the Digital Facilitators may transform user Mobility behaviour, Urban Mobility measures and social engineering</w:t>
                            </w:r>
                            <w:bookmarkEnd w:id="27"/>
                            <w:bookmarkEnd w:id="28"/>
                          </w:p>
                        </w:txbxContent>
                      </wps:txbx>
                      <wps:bodyPr lIns="0" tIns="0" rIns="0" bIns="0" anchor="t">
                        <a:prstTxWarp prst="textNoShape"/>
                        <a:noAutofit/>
                      </wps:bodyPr>
                    </wps:wsp>
                  </a:graphicData>
                </a:graphic>
              </wp:anchor>
            </w:drawing>
          </mc:Choice>
          <mc:Fallback>
            <w:pict>
              <v:rect id="shape_0" fillcolor="white" stroked="f" o:allowincell="f" style="position:absolute;margin-left:0pt;margin-top:423.7pt;width:1256.3pt;height:18.75pt;mso-wrap-style:square;v-text-anchor:top;mso-position-horizontal-relative:page" wp14:anchorId="6B13843B">
                <v:fill o:detectmouseclick="t" type="solid" color2="black"/>
                <v:stroke color="#3465a4" joinstyle="round" endcap="flat"/>
                <v:textbox>
                  <w:txbxContent>
                    <w:p>
                      <w:pPr>
                        <w:pStyle w:val="FrameContents"/>
                        <w:spacing w:before="80" w:after="120"/>
                        <w:rPr>
                          <w:sz w:val="20"/>
                          <w:szCs w:val="20"/>
                        </w:rPr>
                      </w:pPr>
                      <w:bookmarkStart w:id="29" w:name="_Toc226020109"/>
                      <w:bookmarkStart w:id="30" w:name="_Toc223347318"/>
                      <w:r>
                        <w:rPr>
                          <w:sz w:val="20"/>
                          <w:szCs w:val="20"/>
                        </w:rPr>
                        <w:t xml:space="preserve">Figure </w:t>
                      </w:r>
                      <w:r>
                        <w:rPr>
                          <w:sz w:val="20"/>
                          <w:szCs w:val="20"/>
                        </w:rPr>
                        <w:fldChar w:fldCharType="begin"/>
                      </w:r>
                      <w:r>
                        <w:rPr>
                          <w:sz w:val="20"/>
                          <w:szCs w:val="20"/>
                        </w:rPr>
                        <w:instrText xml:space="preserve"> SEQ Figure \* ARABIC </w:instrText>
                      </w:r>
                      <w:r>
                        <w:rPr>
                          <w:sz w:val="20"/>
                          <w:szCs w:val="20"/>
                        </w:rPr>
                        <w:fldChar w:fldCharType="separate"/>
                      </w:r>
                      <w:r>
                        <w:rPr>
                          <w:sz w:val="20"/>
                          <w:szCs w:val="20"/>
                        </w:rPr>
                        <w:t>1</w:t>
                      </w:r>
                      <w:r>
                        <w:rPr>
                          <w:sz w:val="20"/>
                          <w:szCs w:val="20"/>
                        </w:rPr>
                        <w:fldChar w:fldCharType="end"/>
                      </w:r>
                      <w:r>
                        <w:rPr>
                          <w:sz w:val="20"/>
                          <w:szCs w:val="20"/>
                        </w:rPr>
                        <w:t xml:space="preserve"> How the Digital Facilitators may transform user Mobility behaviour, Urban Mobility measures and social engineering</w:t>
                      </w:r>
                      <w:bookmarkEnd w:id="29"/>
                      <w:bookmarkEnd w:id="30"/>
                    </w:p>
                  </w:txbxContent>
                </v:textbox>
                <w10:wrap type="square"/>
              </v:rect>
            </w:pict>
          </mc:Fallback>
        </mc:AlternateContent>
      </w:r>
      <w:r>
        <w:rPr>
          <w:rStyle w:val="Heading2Char"/>
          <w:b/>
          <w:bCs/>
        </w:rPr>
        <w:t>2</w:t>
      </w:r>
      <w:r>
        <w:rPr/>
        <w:t>.1 Introduction of Mobilair’s Vision for Effective Urban Mobility Management Based on Citizens’ Engagement</w:t>
      </w:r>
      <w:bookmarkEnd w:id="31"/>
      <w:bookmarkEnd w:id="32"/>
      <w:bookmarkEnd w:id="33"/>
    </w:p>
    <w:p>
      <w:pPr>
        <w:pStyle w:val="Normal"/>
        <w:rPr/>
      </w:pPr>
      <w:r>
        <w:rPr/>
      </w:r>
    </w:p>
    <w:p>
      <w:pPr>
        <w:pStyle w:val="Normal"/>
        <w:rPr/>
      </w:pPr>
      <w:r>
        <w:rPr/>
        <w:t xml:space="preserve">Mobilair project adopts a holistic approach in improving Urban environment in terms of Air Quality and Sustainable Mobility, which has as main axis the introduction and use of digital facilitators. </w:t>
      </w:r>
    </w:p>
    <w:p>
      <w:pPr>
        <w:pStyle w:val="Normal"/>
        <w:rPr/>
      </w:pPr>
      <w:r>
        <w:rPr/>
        <w:t xml:space="preserve">The digital facilitators could be a set of digital assets, such as public Totem digital displays, mobile applications and datasets, which are used as the tools to attract and engage the Citizens. Mobilair’s vision considers Citizens are the key contributors to the air quality and mobility problems of everyday life, and as a result they are also the solution to a radical shift in quality of urban life. This shift may happen only if the same people who do a travel choice with a high negative impact on the society, in terms of air quality, noise, congestion etc, change their behavious towards more eco-conscious travel choices through modal shift from car to active transport and public transport. </w:t>
      </w:r>
    </w:p>
    <w:p>
      <w:pPr>
        <w:pStyle w:val="Normal"/>
        <w:rPr/>
      </w:pPr>
      <w:r>
        <w:rPr/>
        <w:t>Mobilair envisages 5 escalating steps that complement each other (figure 1):</w:t>
      </w:r>
    </w:p>
    <w:p>
      <w:pPr>
        <w:pStyle w:val="ListParagraph"/>
        <w:numPr>
          <w:ilvl w:val="0"/>
          <w:numId w:val="1"/>
        </w:numPr>
        <w:rPr/>
      </w:pPr>
      <w:r>
        <w:rPr/>
        <w:t>Information: a simple set of information for Air Quality level and sustainable mobility makes the user aware of the current situation</w:t>
      </w:r>
    </w:p>
    <w:p>
      <w:pPr>
        <w:pStyle w:val="ListParagraph"/>
        <w:numPr>
          <w:ilvl w:val="0"/>
          <w:numId w:val="1"/>
        </w:numPr>
        <w:rPr/>
      </w:pPr>
      <w:r>
        <w:rPr/>
        <w:t>Nudging the user: the digital facilitators provide the information in such a way that nudges the user towards desired behaviour</w:t>
      </w:r>
    </w:p>
    <w:p>
      <w:pPr>
        <w:pStyle w:val="ListParagraph"/>
        <w:numPr>
          <w:ilvl w:val="0"/>
          <w:numId w:val="1"/>
        </w:numPr>
        <w:rPr/>
      </w:pPr>
      <w:r>
        <w:rPr/>
        <w:t>Educate the user: the digital facilitators provide insights regarding the urban life operations that assist the user in fully grasping the problem and what it causes it.</w:t>
      </w:r>
    </w:p>
    <w:p>
      <w:pPr>
        <w:pStyle w:val="ListParagraph"/>
        <w:numPr>
          <w:ilvl w:val="0"/>
          <w:numId w:val="1"/>
        </w:numPr>
        <w:rPr/>
      </w:pPr>
      <w:r>
        <w:rPr/>
        <w:t>Engage the user:  gamification and incentives trigger the users’ engagement in frequent use and adoption of the digital facilitators</w:t>
      </w:r>
    </w:p>
    <w:p>
      <w:pPr>
        <w:pStyle w:val="ListParagraph"/>
        <w:numPr>
          <w:ilvl w:val="0"/>
          <w:numId w:val="1"/>
        </w:numPr>
        <w:rPr/>
      </w:pPr>
      <w:r>
        <w:rPr/>
        <w:t>What if gamification: the mobile application intends to comprehend user actions by analysing     user behaviour in future or hypothetical scenarios</w:t>
      </w:r>
    </w:p>
    <w:p>
      <w:pPr>
        <w:pStyle w:val="Normal"/>
        <w:rPr/>
      </w:pPr>
      <w:r>
        <w:rPr/>
      </w:r>
    </w:p>
    <w:p>
      <w:pPr>
        <w:pStyle w:val="Heading2"/>
        <w:rPr/>
      </w:pPr>
      <w:bookmarkStart w:id="34" w:name="_Toc226020129"/>
      <w:bookmarkStart w:id="35" w:name="_Toc226016104"/>
      <w:bookmarkStart w:id="36" w:name="_Toc1506405791"/>
      <w:r>
        <w:rPr/>
        <w:t>2.2 Air Quality &amp; Mobility Assets Display and Incentives</w:t>
      </w:r>
      <w:bookmarkEnd w:id="34"/>
      <w:bookmarkEnd w:id="35"/>
      <w:bookmarkEnd w:id="36"/>
    </w:p>
    <w:p>
      <w:pPr>
        <w:pStyle w:val="Heading3"/>
        <w:rPr/>
      </w:pPr>
      <w:bookmarkStart w:id="37" w:name="_Toc226020130"/>
      <w:bookmarkStart w:id="38" w:name="_Toc226016105"/>
      <w:bookmarkStart w:id="39" w:name="_Toc1126488196"/>
      <w:r>
        <w:rPr/>
        <w:t>Air quality display</w:t>
      </w:r>
      <w:bookmarkEnd w:id="37"/>
      <w:bookmarkEnd w:id="38"/>
      <w:bookmarkEnd w:id="39"/>
    </w:p>
    <w:p>
      <w:pPr>
        <w:pStyle w:val="Normal"/>
        <w:rPr/>
      </w:pPr>
      <w:r>
        <w:rPr/>
        <w:t xml:space="preserve">The air quality display provides a qualitative value to the users about the current state of pollution in the area. The possible values are: </w:t>
      </w:r>
    </w:p>
    <w:p>
      <w:pPr>
        <w:pStyle w:val="ListParagraph"/>
        <w:numPr>
          <w:ilvl w:val="0"/>
          <w:numId w:val="5"/>
        </w:numPr>
        <w:rPr/>
      </w:pPr>
      <w:r>
        <w:rPr>
          <w:lang w:val="en-US"/>
        </w:rPr>
        <w:t xml:space="preserve">Very good </w:t>
      </w:r>
    </w:p>
    <w:p>
      <w:pPr>
        <w:pStyle w:val="ListParagraph"/>
        <w:numPr>
          <w:ilvl w:val="0"/>
          <w:numId w:val="5"/>
        </w:numPr>
        <w:rPr/>
      </w:pPr>
      <w:r>
        <w:rPr/>
        <w:t>Good</w:t>
      </w:r>
    </w:p>
    <w:p>
      <w:pPr>
        <w:pStyle w:val="ListParagraph"/>
        <w:numPr>
          <w:ilvl w:val="0"/>
          <w:numId w:val="5"/>
        </w:numPr>
        <w:rPr/>
      </w:pPr>
      <w:r>
        <w:rPr/>
        <w:t>Moderate</w:t>
      </w:r>
    </w:p>
    <w:p>
      <w:pPr>
        <w:pStyle w:val="ListParagraph"/>
        <w:numPr>
          <w:ilvl w:val="0"/>
          <w:numId w:val="5"/>
        </w:numPr>
        <w:rPr/>
      </w:pPr>
      <w:r>
        <w:rPr/>
        <w:t>Bad</w:t>
      </w:r>
    </w:p>
    <w:p>
      <w:pPr>
        <w:pStyle w:val="ListParagraph"/>
        <w:numPr>
          <w:ilvl w:val="0"/>
          <w:numId w:val="5"/>
        </w:numPr>
        <w:rPr>
          <w:lang w:val="en-US"/>
        </w:rPr>
      </w:pPr>
      <w:r>
        <w:rPr>
          <w:lang w:val="en-US"/>
        </w:rPr>
        <w:t>Very bad</w:t>
      </w:r>
    </w:p>
    <w:p>
      <w:pPr>
        <w:pStyle w:val="Normal"/>
        <w:rPr/>
      </w:pPr>
      <w:r>
        <w:rPr/>
        <w:t xml:space="preserve">As seen in figure X, the value is displayed in a color-coded gradient bar for easy understanding, with green and red being the “very good” and “very bad” values accordingly. The language used in this display is kept simple, and words such as “hazardous” are purposefully avoided as not creating unnecessary panic. Lastly, the current time and weather forecast are included in the display for stylistic and informative purposes. </w:t>
      </w:r>
    </w:p>
    <w:p>
      <w:pPr>
        <w:pStyle w:val="Normal"/>
        <w:keepNext w:val="true"/>
        <w:rPr/>
      </w:pPr>
      <w:r>
        <w:rPr/>
        <w:drawing>
          <wp:inline distT="0" distB="0" distL="0" distR="0">
            <wp:extent cx="5943600" cy="2924175"/>
            <wp:effectExtent l="0" t="0" r="0" b="0"/>
            <wp:docPr id="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pic:cNvPicPr>
                      <a:picLocks noChangeAspect="1" noChangeArrowheads="1"/>
                    </pic:cNvPicPr>
                  </pic:nvPicPr>
                  <pic:blipFill>
                    <a:blip r:embed="rId9"/>
                    <a:stretch>
                      <a:fillRect/>
                    </a:stretch>
                  </pic:blipFill>
                  <pic:spPr bwMode="auto">
                    <a:xfrm>
                      <a:off x="0" y="0"/>
                      <a:ext cx="5943600" cy="2924175"/>
                    </a:xfrm>
                    <a:prstGeom prst="rect">
                      <a:avLst/>
                    </a:prstGeom>
                    <a:noFill/>
                  </pic:spPr>
                </pic:pic>
              </a:graphicData>
            </a:graphic>
          </wp:inline>
        </w:drawing>
      </w:r>
    </w:p>
    <w:p>
      <w:pPr>
        <w:pStyle w:val="Caption"/>
        <w:rPr/>
      </w:pPr>
      <w:bookmarkStart w:id="40" w:name="_Toc226020110"/>
      <w:r>
        <w:rPr/>
        <w:t xml:space="preserve">Figure </w:t>
      </w:r>
      <w:r>
        <w:rPr/>
        <w:fldChar w:fldCharType="begin"/>
      </w:r>
      <w:r>
        <w:rPr/>
        <w:instrText xml:space="preserve"> SEQ Figure \* ARABIC </w:instrText>
      </w:r>
      <w:r>
        <w:rPr/>
        <w:fldChar w:fldCharType="separate"/>
      </w:r>
      <w:r>
        <w:rPr/>
        <w:t>2</w:t>
      </w:r>
      <w:r>
        <w:rPr/>
        <w:fldChar w:fldCharType="end"/>
      </w:r>
      <w:r>
        <w:rPr/>
        <w:t xml:space="preserve"> Weather and Air Quality real time data</w:t>
      </w:r>
      <w:bookmarkEnd w:id="40"/>
    </w:p>
    <w:p>
      <w:pPr>
        <w:pStyle w:val="Heading3"/>
        <w:rPr/>
      </w:pPr>
      <w:bookmarkStart w:id="41" w:name="_Toc226020131"/>
      <w:bookmarkStart w:id="42" w:name="_Toc226016106"/>
      <w:bookmarkStart w:id="43" w:name="_Toc1100175259"/>
      <w:r>
        <w:rPr/>
        <w:t>Mobility assets display</w:t>
      </w:r>
      <w:bookmarkEnd w:id="41"/>
      <w:bookmarkEnd w:id="42"/>
      <w:bookmarkEnd w:id="43"/>
    </w:p>
    <w:p>
      <w:pPr>
        <w:pStyle w:val="Normal"/>
        <w:rPr/>
      </w:pPr>
      <w:r>
        <w:rPr/>
        <w:t xml:space="preserve">The mobility assets display provides directions and bus stop information for key destinations in the city of Thessaloniki. Currently, the available destinations are: </w:t>
      </w:r>
    </w:p>
    <w:p>
      <w:pPr>
        <w:pStyle w:val="ListParagraph"/>
        <w:numPr>
          <w:ilvl w:val="0"/>
          <w:numId w:val="4"/>
        </w:numPr>
        <w:rPr/>
      </w:pPr>
      <w:r>
        <w:rPr/>
        <w:t>Airport</w:t>
      </w:r>
    </w:p>
    <w:p>
      <w:pPr>
        <w:pStyle w:val="ListParagraph"/>
        <w:numPr>
          <w:ilvl w:val="0"/>
          <w:numId w:val="4"/>
        </w:numPr>
        <w:rPr/>
      </w:pPr>
      <w:r>
        <w:rPr/>
        <w:t>Suburban Bus Station Makedonia</w:t>
      </w:r>
    </w:p>
    <w:p>
      <w:pPr>
        <w:pStyle w:val="ListParagraph"/>
        <w:numPr>
          <w:ilvl w:val="0"/>
          <w:numId w:val="4"/>
        </w:numPr>
        <w:rPr>
          <w:lang w:val="en-US"/>
        </w:rPr>
      </w:pPr>
      <w:r>
        <w:rPr>
          <w:lang w:val="en-US"/>
        </w:rPr>
        <w:t>Suburban Bus Station Chalkidikis</w:t>
      </w:r>
    </w:p>
    <w:p>
      <w:pPr>
        <w:pStyle w:val="ListParagraph"/>
        <w:numPr>
          <w:ilvl w:val="0"/>
          <w:numId w:val="4"/>
        </w:numPr>
        <w:rPr/>
      </w:pPr>
      <w:r>
        <w:rPr/>
        <w:t>Aristotle Square</w:t>
      </w:r>
    </w:p>
    <w:p>
      <w:pPr>
        <w:pStyle w:val="Normal"/>
        <w:rPr/>
      </w:pPr>
      <w:r>
        <w:rPr/>
        <w:t xml:space="preserve">The destinations are cycled through every 15 seconds and for each destination the following information is provided: </w:t>
      </w:r>
    </w:p>
    <w:p>
      <w:pPr>
        <w:pStyle w:val="ListParagraph"/>
        <w:numPr>
          <w:ilvl w:val="0"/>
          <w:numId w:val="3"/>
        </w:numPr>
        <w:rPr/>
      </w:pPr>
      <w:r>
        <w:rPr/>
        <w:t>Name of bus stop</w:t>
      </w:r>
    </w:p>
    <w:p>
      <w:pPr>
        <w:pStyle w:val="ListParagraph"/>
        <w:numPr>
          <w:ilvl w:val="0"/>
          <w:numId w:val="3"/>
        </w:numPr>
        <w:rPr/>
      </w:pPr>
      <w:r>
        <w:rPr/>
        <w:t>Walking time to bus stop</w:t>
      </w:r>
    </w:p>
    <w:p>
      <w:pPr>
        <w:pStyle w:val="ListParagraph"/>
        <w:numPr>
          <w:ilvl w:val="0"/>
          <w:numId w:val="3"/>
        </w:numPr>
        <w:rPr/>
      </w:pPr>
      <w:r>
        <w:rPr/>
        <w:t>Bus line</w:t>
      </w:r>
    </w:p>
    <w:p>
      <w:pPr>
        <w:pStyle w:val="ListParagraph"/>
        <w:numPr>
          <w:ilvl w:val="0"/>
          <w:numId w:val="3"/>
        </w:numPr>
        <w:rPr/>
      </w:pPr>
      <w:r>
        <w:rPr/>
        <w:t>Arrival of bus at the stop</w:t>
      </w:r>
    </w:p>
    <w:p>
      <w:pPr>
        <w:pStyle w:val="ListParagraph"/>
        <w:numPr>
          <w:ilvl w:val="0"/>
          <w:numId w:val="3"/>
        </w:numPr>
        <w:rPr/>
      </w:pPr>
      <w:r>
        <w:rPr/>
        <w:t>Walking direction from the display to the bus stop</w:t>
      </w:r>
    </w:p>
    <w:p>
      <w:pPr>
        <w:pStyle w:val="Normal"/>
        <w:rPr/>
      </w:pPr>
      <w:r>
        <w:rPr>
          <w:lang w:val="en-US"/>
        </w:rPr>
        <w:t xml:space="preserve">Additionally, the viewer can scan the correspondent QR code to load the information on the display directly into their phones and continue their journey. This feature enables the viewers to have continuous access to key information and assist them to reach their desired destination. </w:t>
      </w:r>
    </w:p>
    <w:p>
      <w:pPr>
        <w:pStyle w:val="Normal"/>
        <w:keepNext w:val="true"/>
        <w:rPr/>
      </w:pPr>
      <w:r>
        <w:rPr/>
        <w:drawing>
          <wp:inline distT="0" distB="0" distL="0" distR="0">
            <wp:extent cx="5943600" cy="2924175"/>
            <wp:effectExtent l="0" t="0" r="0" b="0"/>
            <wp:docPr id="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pic:cNvPicPr>
                      <a:picLocks noChangeAspect="1" noChangeArrowheads="1"/>
                    </pic:cNvPicPr>
                  </pic:nvPicPr>
                  <pic:blipFill>
                    <a:blip r:embed="rId10"/>
                    <a:stretch>
                      <a:fillRect/>
                    </a:stretch>
                  </pic:blipFill>
                  <pic:spPr bwMode="auto">
                    <a:xfrm>
                      <a:off x="0" y="0"/>
                      <a:ext cx="5943600" cy="2924175"/>
                    </a:xfrm>
                    <a:prstGeom prst="rect">
                      <a:avLst/>
                    </a:prstGeom>
                    <a:noFill/>
                  </pic:spPr>
                </pic:pic>
              </a:graphicData>
            </a:graphic>
          </wp:inline>
        </w:drawing>
      </w:r>
    </w:p>
    <w:p>
      <w:pPr>
        <w:pStyle w:val="Caption"/>
        <w:rPr/>
      </w:pPr>
      <w:bookmarkStart w:id="44" w:name="_Toc226020111"/>
      <w:r>
        <w:rPr/>
        <w:t xml:space="preserve">Figure </w:t>
      </w:r>
      <w:r>
        <w:rPr/>
        <w:fldChar w:fldCharType="begin"/>
      </w:r>
      <w:r>
        <w:rPr/>
        <w:instrText xml:space="preserve"> SEQ Figure \* ARABIC </w:instrText>
      </w:r>
      <w:r>
        <w:rPr/>
        <w:fldChar w:fldCharType="separate"/>
      </w:r>
      <w:r>
        <w:rPr/>
        <w:t>3</w:t>
      </w:r>
      <w:r>
        <w:rPr/>
        <w:fldChar w:fldCharType="end"/>
      </w:r>
      <w:r>
        <w:rPr/>
        <w:t xml:space="preserve"> Public Transport routing visualisation</w:t>
      </w:r>
      <w:bookmarkEnd w:id="44"/>
    </w:p>
    <w:p>
      <w:pPr>
        <w:pStyle w:val="Heading2"/>
        <w:rPr/>
      </w:pPr>
      <w:bookmarkStart w:id="45" w:name="_Toc226020132"/>
      <w:bookmarkStart w:id="46" w:name="_Toc226016107"/>
      <w:bookmarkStart w:id="47" w:name="_Toc799125935"/>
      <w:r>
        <w:rPr/>
        <w:t>2.3 Gamification, Quiz &amp; Survey</w:t>
      </w:r>
      <w:bookmarkEnd w:id="45"/>
      <w:bookmarkEnd w:id="46"/>
      <w:bookmarkEnd w:id="47"/>
    </w:p>
    <w:p>
      <w:pPr>
        <w:pStyle w:val="Heading3"/>
        <w:rPr>
          <w:rFonts w:eastAsia="Calibri"/>
        </w:rPr>
      </w:pPr>
      <w:bookmarkStart w:id="48" w:name="_Toc226020133"/>
      <w:bookmarkStart w:id="49" w:name="_Toc226016108"/>
      <w:bookmarkStart w:id="50" w:name="_Toc1774334436"/>
      <w:r>
        <w:rPr/>
        <w:t>2.3.1 Overview and Design Rationale</w:t>
      </w:r>
      <w:bookmarkEnd w:id="48"/>
      <w:bookmarkEnd w:id="49"/>
      <w:bookmarkEnd w:id="50"/>
    </w:p>
    <w:p>
      <w:pPr>
        <w:pStyle w:val="Normal"/>
        <w:rPr/>
      </w:pPr>
      <w:r>
        <w:rPr/>
        <w:t>The Mobilair mobile application integrates a gamification framework alongside structured quiz and survey modules to promote sustained user engagement and support behavioural change toward sustainable urban mobility. These three components, gamification, quiz, and survey, are designed as an interconnected system that rewards users for active participation, increases awareness of environmental and mobility-related issues, and generates valuable data on citizen preferences and attitudes.</w:t>
      </w:r>
    </w:p>
    <w:p>
      <w:pPr>
        <w:pStyle w:val="Normal"/>
        <w:spacing w:before="60" w:after="60"/>
        <w:rPr/>
      </w:pPr>
      <w:r>
        <w:rPr/>
        <w:t>The design rationale draws on established principles of behavioural science and digital engagement, including reward-based motivation, progressive challenge, feedback loops, and personalised goal setting. By converting knowledge acquisition and opinion sharing into rewarding experiences, the application encourages users to engage repeatedly, develop eco-conscious habits, and contribute meaningfully to the project's data collection objectives.</w:t>
      </w:r>
    </w:p>
    <w:p>
      <w:pPr>
        <w:pStyle w:val="Normal"/>
        <w:spacing w:before="60" w:after="60"/>
        <w:rPr/>
      </w:pPr>
      <w:r>
        <w:rPr/>
      </w:r>
    </w:p>
    <w:p>
      <w:pPr>
        <w:pStyle w:val="Heading3"/>
        <w:rPr/>
      </w:pPr>
      <w:bookmarkStart w:id="51" w:name="_Toc226020134"/>
      <w:bookmarkStart w:id="52" w:name="_Toc226016109"/>
      <w:bookmarkStart w:id="53" w:name="_Toc1614805391"/>
      <w:r>
        <w:rPr/>
        <w:t>2.3.2 Gamification system</w:t>
      </w:r>
      <w:bookmarkEnd w:id="51"/>
      <w:bookmarkEnd w:id="52"/>
      <w:bookmarkEnd w:id="53"/>
    </w:p>
    <w:p>
      <w:pPr>
        <w:pStyle w:val="Heading4"/>
        <w:rPr/>
      </w:pPr>
      <w:bookmarkStart w:id="54" w:name="_Toc226016110"/>
      <w:r>
        <w:rPr/>
        <w:t>Points and levelling system (XP)</w:t>
      </w:r>
      <w:bookmarkEnd w:id="54"/>
    </w:p>
    <w:p>
      <w:pPr>
        <w:pStyle w:val="Normal"/>
        <w:rPr/>
      </w:pPr>
      <w:r>
        <w:rPr/>
        <w:t>The core gamification methodology is a points-based progression system built around Experience Points (XP). Each user begins at Level 1 and advances to the next level upon accumulating 100 XP. The system is designed to be inclusive — even users who answer quiz questions incorrectly receive participation points — while still rewarding accuracy and effort.</w:t>
      </w:r>
    </w:p>
    <w:p>
      <w:pPr>
        <w:pStyle w:val="Normal"/>
        <w:spacing w:before="60" w:after="60"/>
        <w:rPr/>
      </w:pPr>
      <w:r>
        <w:rPr/>
        <w:t xml:space="preserve"> </w:t>
      </w:r>
      <w:r>
        <w:rPr/>
        <w:t>XP can be earned through multiple channels within the application, ensuring that users with different engagement patterns and preferences can still progress. The table below summarises all available XP-earning activities:</w:t>
      </w:r>
    </w:p>
    <w:p>
      <w:pPr>
        <w:pStyle w:val="Normal"/>
        <w:spacing w:before="60" w:after="60"/>
        <w:rPr/>
      </w:pPr>
      <w:r>
        <w:rPr/>
      </w:r>
    </w:p>
    <w:tbl>
      <w:tblPr>
        <w:tblStyle w:val="TableGrid1"/>
        <w:tblW w:w="8595" w:type="dxa"/>
        <w:jc w:val="start"/>
        <w:tblInd w:w="0" w:type="dxa"/>
        <w:tblLayout w:type="fixed"/>
        <w:tblCellMar>
          <w:top w:w="0" w:type="dxa"/>
          <w:start w:w="108" w:type="dxa"/>
          <w:bottom w:w="0" w:type="dxa"/>
          <w:end w:w="108" w:type="dxa"/>
        </w:tblCellMar>
        <w:tblLook w:val="06a0" w:firstRow="1" w:noVBand="1" w:lastRow="0" w:firstColumn="1" w:lastColumn="0" w:noHBand="1"/>
      </w:tblPr>
      <w:tblGrid>
        <w:gridCol w:w="3494"/>
        <w:gridCol w:w="1995"/>
        <w:gridCol w:w="3106"/>
      </w:tblGrid>
      <w:tr>
        <w:trPr>
          <w:trHeight w:val="300" w:hRule="atLeast"/>
        </w:trPr>
        <w:tc>
          <w:tcPr>
            <w:tcW w:w="3494" w:type="dxa"/>
            <w:tcBorders/>
          </w:tcPr>
          <w:p>
            <w:pPr>
              <w:pStyle w:val="Normal"/>
              <w:widowControl/>
              <w:spacing w:lineRule="auto" w:line="240" w:before="60" w:after="60"/>
              <w:rPr>
                <w:b/>
                <w:bCs/>
              </w:rPr>
            </w:pPr>
            <w:r>
              <w:rPr>
                <w:b/>
                <w:bCs/>
                <w:kern w:val="0"/>
                <w:lang w:eastAsia="en-US" w:bidi="ar-SA"/>
              </w:rPr>
              <w:t>Activity</w:t>
            </w:r>
          </w:p>
        </w:tc>
        <w:tc>
          <w:tcPr>
            <w:tcW w:w="1995" w:type="dxa"/>
            <w:tcBorders/>
          </w:tcPr>
          <w:p>
            <w:pPr>
              <w:pStyle w:val="Normal"/>
              <w:widowControl/>
              <w:spacing w:lineRule="auto" w:line="240" w:before="60" w:after="60"/>
              <w:rPr>
                <w:b/>
                <w:bCs/>
              </w:rPr>
            </w:pPr>
            <w:r>
              <w:rPr>
                <w:b/>
                <w:bCs/>
                <w:kern w:val="0"/>
                <w:lang w:eastAsia="en-US" w:bidi="ar-SA"/>
              </w:rPr>
              <w:t>XP Awarded</w:t>
            </w:r>
          </w:p>
        </w:tc>
        <w:tc>
          <w:tcPr>
            <w:tcW w:w="3106" w:type="dxa"/>
            <w:tcBorders/>
          </w:tcPr>
          <w:p>
            <w:pPr>
              <w:pStyle w:val="Normal"/>
              <w:widowControl/>
              <w:spacing w:lineRule="auto" w:line="240" w:before="60" w:after="60"/>
              <w:rPr>
                <w:b/>
                <w:bCs/>
              </w:rPr>
            </w:pPr>
            <w:r>
              <w:rPr>
                <w:b/>
                <w:bCs/>
                <w:kern w:val="0"/>
                <w:lang w:eastAsia="en-US" w:bidi="ar-SA"/>
              </w:rPr>
              <w:t>Notes</w:t>
            </w:r>
          </w:p>
        </w:tc>
      </w:tr>
      <w:tr>
        <w:trPr>
          <w:trHeight w:val="300" w:hRule="atLeast"/>
        </w:trPr>
        <w:tc>
          <w:tcPr>
            <w:tcW w:w="3494" w:type="dxa"/>
            <w:tcBorders/>
          </w:tcPr>
          <w:p>
            <w:pPr>
              <w:pStyle w:val="Normal"/>
              <w:widowControl/>
              <w:spacing w:lineRule="auto" w:line="240" w:before="60" w:after="60"/>
              <w:rPr>
                <w:color w:themeColor="text1" w:val="000000"/>
              </w:rPr>
            </w:pPr>
            <w:r>
              <w:rPr>
                <w:color w:themeColor="text1" w:val="000000"/>
                <w:kern w:val="0"/>
                <w:lang w:eastAsia="en-US" w:bidi="ar-SA"/>
              </w:rPr>
              <w:t>Quiz – Correct Answer (Level 1)</w:t>
            </w:r>
          </w:p>
        </w:tc>
        <w:tc>
          <w:tcPr>
            <w:tcW w:w="1995" w:type="dxa"/>
            <w:tcBorders/>
          </w:tcPr>
          <w:p>
            <w:pPr>
              <w:pStyle w:val="Normal"/>
              <w:widowControl/>
              <w:spacing w:lineRule="auto" w:line="240" w:before="60" w:after="60"/>
              <w:rPr>
                <w:kern w:val="0"/>
                <w:lang w:eastAsia="en-US" w:bidi="ar-SA"/>
              </w:rPr>
            </w:pPr>
            <w:r>
              <w:rPr>
                <w:kern w:val="0"/>
                <w:lang w:eastAsia="en-US" w:bidi="ar-SA"/>
              </w:rPr>
              <w:t>40 XP</w:t>
            </w:r>
          </w:p>
        </w:tc>
        <w:tc>
          <w:tcPr>
            <w:tcW w:w="3106" w:type="dxa"/>
            <w:tcBorders/>
          </w:tcPr>
          <w:p>
            <w:pPr>
              <w:pStyle w:val="Normal"/>
              <w:widowControl/>
              <w:spacing w:lineRule="auto" w:line="240" w:before="60" w:after="60"/>
              <w:rPr>
                <w:kern w:val="0"/>
                <w:lang w:eastAsia="en-US" w:bidi="ar-SA"/>
              </w:rPr>
            </w:pPr>
            <w:r>
              <w:rPr>
                <w:kern w:val="0"/>
                <w:lang w:eastAsia="en-US" w:bidi="ar-SA"/>
              </w:rPr>
              <w:t>Per question</w:t>
            </w:r>
          </w:p>
        </w:tc>
      </w:tr>
      <w:tr>
        <w:trPr>
          <w:trHeight w:val="300" w:hRule="atLeast"/>
        </w:trPr>
        <w:tc>
          <w:tcPr>
            <w:tcW w:w="3494" w:type="dxa"/>
            <w:tcBorders/>
          </w:tcPr>
          <w:p>
            <w:pPr>
              <w:pStyle w:val="Normal"/>
              <w:widowControl/>
              <w:spacing w:lineRule="auto" w:line="240" w:before="60" w:after="60"/>
              <w:rPr>
                <w:kern w:val="0"/>
                <w:lang w:eastAsia="en-US" w:bidi="ar-SA"/>
              </w:rPr>
            </w:pPr>
            <w:r>
              <w:rPr>
                <w:kern w:val="0"/>
                <w:lang w:eastAsia="en-US" w:bidi="ar-SA"/>
              </w:rPr>
              <w:t>Quiz – Correct Answer (Level 2)</w:t>
            </w:r>
          </w:p>
        </w:tc>
        <w:tc>
          <w:tcPr>
            <w:tcW w:w="1995" w:type="dxa"/>
            <w:tcBorders/>
          </w:tcPr>
          <w:p>
            <w:pPr>
              <w:pStyle w:val="Normal"/>
              <w:widowControl/>
              <w:spacing w:lineRule="auto" w:line="240" w:before="60" w:after="60"/>
              <w:rPr>
                <w:kern w:val="0"/>
                <w:lang w:eastAsia="en-US" w:bidi="ar-SA"/>
              </w:rPr>
            </w:pPr>
            <w:r>
              <w:rPr>
                <w:kern w:val="0"/>
                <w:lang w:eastAsia="en-US" w:bidi="ar-SA"/>
              </w:rPr>
              <w:t>80 XP</w:t>
            </w:r>
          </w:p>
        </w:tc>
        <w:tc>
          <w:tcPr>
            <w:tcW w:w="3106" w:type="dxa"/>
            <w:tcBorders/>
          </w:tcPr>
          <w:p>
            <w:pPr>
              <w:pStyle w:val="Normal"/>
              <w:widowControl/>
              <w:spacing w:lineRule="auto" w:line="240" w:before="60" w:after="60"/>
              <w:rPr>
                <w:kern w:val="0"/>
                <w:lang w:eastAsia="en-US" w:bidi="ar-SA"/>
              </w:rPr>
            </w:pPr>
            <w:r>
              <w:rPr>
                <w:kern w:val="0"/>
                <w:lang w:eastAsia="en-US" w:bidi="ar-SA"/>
              </w:rPr>
              <w:t>Per question</w:t>
            </w:r>
          </w:p>
        </w:tc>
      </w:tr>
      <w:tr>
        <w:trPr>
          <w:trHeight w:val="300" w:hRule="atLeast"/>
        </w:trPr>
        <w:tc>
          <w:tcPr>
            <w:tcW w:w="3494" w:type="dxa"/>
            <w:tcBorders/>
          </w:tcPr>
          <w:p>
            <w:pPr>
              <w:pStyle w:val="Normal"/>
              <w:widowControl/>
              <w:spacing w:lineRule="auto" w:line="240" w:before="60" w:after="60"/>
              <w:rPr>
                <w:color w:themeColor="text1" w:val="000000"/>
              </w:rPr>
            </w:pPr>
            <w:r>
              <w:rPr>
                <w:color w:themeColor="text1" w:val="000000"/>
                <w:kern w:val="0"/>
                <w:lang w:eastAsia="en-US" w:bidi="ar-SA"/>
              </w:rPr>
              <w:t>Quiz – Correct Answer (Level 3)</w:t>
            </w:r>
          </w:p>
        </w:tc>
        <w:tc>
          <w:tcPr>
            <w:tcW w:w="1995" w:type="dxa"/>
            <w:tcBorders/>
          </w:tcPr>
          <w:p>
            <w:pPr>
              <w:pStyle w:val="Normal"/>
              <w:widowControl/>
              <w:spacing w:lineRule="auto" w:line="240" w:before="60" w:after="60"/>
              <w:rPr>
                <w:kern w:val="0"/>
                <w:lang w:eastAsia="en-US" w:bidi="ar-SA"/>
              </w:rPr>
            </w:pPr>
            <w:r>
              <w:rPr>
                <w:kern w:val="0"/>
                <w:lang w:eastAsia="en-US" w:bidi="ar-SA"/>
              </w:rPr>
              <w:t>120 XP</w:t>
            </w:r>
          </w:p>
        </w:tc>
        <w:tc>
          <w:tcPr>
            <w:tcW w:w="3106" w:type="dxa"/>
            <w:tcBorders/>
          </w:tcPr>
          <w:p>
            <w:pPr>
              <w:pStyle w:val="Normal"/>
              <w:widowControl/>
              <w:spacing w:lineRule="auto" w:line="240" w:before="60" w:after="60"/>
              <w:rPr>
                <w:kern w:val="0"/>
                <w:lang w:eastAsia="en-US" w:bidi="ar-SA"/>
              </w:rPr>
            </w:pPr>
            <w:r>
              <w:rPr>
                <w:kern w:val="0"/>
                <w:lang w:eastAsia="en-US" w:bidi="ar-SA"/>
              </w:rPr>
              <w:t>Per question</w:t>
            </w:r>
          </w:p>
        </w:tc>
      </w:tr>
      <w:tr>
        <w:trPr>
          <w:trHeight w:val="300" w:hRule="atLeast"/>
        </w:trPr>
        <w:tc>
          <w:tcPr>
            <w:tcW w:w="3494" w:type="dxa"/>
            <w:tcBorders/>
          </w:tcPr>
          <w:p>
            <w:pPr>
              <w:pStyle w:val="Normal"/>
              <w:widowControl/>
              <w:spacing w:lineRule="auto" w:line="240" w:before="60" w:after="60"/>
              <w:rPr>
                <w:kern w:val="0"/>
                <w:lang w:eastAsia="en-US" w:bidi="ar-SA"/>
              </w:rPr>
            </w:pPr>
            <w:r>
              <w:rPr>
                <w:kern w:val="0"/>
                <w:lang w:eastAsia="en-US" w:bidi="ar-SA"/>
              </w:rPr>
              <w:t>Quiz – Participation (any level)</w:t>
            </w:r>
          </w:p>
        </w:tc>
        <w:tc>
          <w:tcPr>
            <w:tcW w:w="1995" w:type="dxa"/>
            <w:tcBorders/>
          </w:tcPr>
          <w:p>
            <w:pPr>
              <w:pStyle w:val="Normal"/>
              <w:widowControl/>
              <w:spacing w:lineRule="auto" w:line="240" w:before="60" w:after="60"/>
              <w:rPr>
                <w:kern w:val="0"/>
                <w:lang w:eastAsia="en-US" w:bidi="ar-SA"/>
              </w:rPr>
            </w:pPr>
            <w:r>
              <w:rPr>
                <w:kern w:val="0"/>
                <w:lang w:eastAsia="en-US" w:bidi="ar-SA"/>
              </w:rPr>
              <w:t>20–60 XP</w:t>
            </w:r>
          </w:p>
        </w:tc>
        <w:tc>
          <w:tcPr>
            <w:tcW w:w="3106" w:type="dxa"/>
            <w:tcBorders/>
          </w:tcPr>
          <w:p>
            <w:pPr>
              <w:pStyle w:val="Normal"/>
              <w:widowControl/>
              <w:spacing w:lineRule="auto" w:line="240" w:before="60" w:after="60"/>
              <w:rPr>
                <w:kern w:val="0"/>
                <w:lang w:eastAsia="en-US" w:bidi="ar-SA"/>
              </w:rPr>
            </w:pPr>
            <w:r>
              <w:rPr>
                <w:kern w:val="0"/>
                <w:lang w:eastAsia="en-US" w:bidi="ar-SA"/>
              </w:rPr>
              <w:t>Even for wrong answers</w:t>
            </w:r>
          </w:p>
        </w:tc>
      </w:tr>
      <w:tr>
        <w:trPr>
          <w:trHeight w:val="300" w:hRule="atLeast"/>
        </w:trPr>
        <w:tc>
          <w:tcPr>
            <w:tcW w:w="3494" w:type="dxa"/>
            <w:tcBorders/>
          </w:tcPr>
          <w:p>
            <w:pPr>
              <w:pStyle w:val="Normal"/>
              <w:widowControl/>
              <w:spacing w:lineRule="auto" w:line="240" w:before="60" w:after="60"/>
              <w:rPr>
                <w:color w:themeColor="text1" w:val="000000"/>
              </w:rPr>
            </w:pPr>
            <w:r>
              <w:rPr>
                <w:color w:themeColor="text1" w:val="000000"/>
                <w:kern w:val="0"/>
                <w:lang w:eastAsia="en-US" w:bidi="ar-SA"/>
              </w:rPr>
              <w:t>Survey completion</w:t>
            </w:r>
          </w:p>
        </w:tc>
        <w:tc>
          <w:tcPr>
            <w:tcW w:w="1995" w:type="dxa"/>
            <w:tcBorders/>
          </w:tcPr>
          <w:p>
            <w:pPr>
              <w:pStyle w:val="Normal"/>
              <w:widowControl/>
              <w:spacing w:lineRule="auto" w:line="240" w:before="60" w:after="60"/>
              <w:rPr>
                <w:kern w:val="0"/>
                <w:lang w:eastAsia="en-US" w:bidi="ar-SA"/>
              </w:rPr>
            </w:pPr>
            <w:r>
              <w:rPr>
                <w:kern w:val="0"/>
                <w:lang w:eastAsia="en-US" w:bidi="ar-SA"/>
              </w:rPr>
              <w:t>50 XP</w:t>
            </w:r>
          </w:p>
        </w:tc>
        <w:tc>
          <w:tcPr>
            <w:tcW w:w="3106" w:type="dxa"/>
            <w:tcBorders/>
          </w:tcPr>
          <w:p>
            <w:pPr>
              <w:pStyle w:val="Normal"/>
              <w:widowControl/>
              <w:spacing w:lineRule="auto" w:line="240" w:before="60" w:after="60"/>
              <w:rPr>
                <w:kern w:val="0"/>
                <w:lang w:eastAsia="en-US" w:bidi="ar-SA"/>
              </w:rPr>
            </w:pPr>
            <w:r>
              <w:rPr>
                <w:kern w:val="0"/>
                <w:lang w:eastAsia="en-US" w:bidi="ar-SA"/>
              </w:rPr>
              <w:t>Per survey module</w:t>
            </w:r>
          </w:p>
        </w:tc>
      </w:tr>
      <w:tr>
        <w:trPr>
          <w:trHeight w:val="300" w:hRule="atLeast"/>
        </w:trPr>
        <w:tc>
          <w:tcPr>
            <w:tcW w:w="3494" w:type="dxa"/>
            <w:tcBorders/>
          </w:tcPr>
          <w:p>
            <w:pPr>
              <w:pStyle w:val="Normal"/>
              <w:widowControl/>
              <w:spacing w:lineRule="auto" w:line="240" w:before="60" w:after="60"/>
              <w:rPr>
                <w:kern w:val="0"/>
                <w:lang w:eastAsia="en-US" w:bidi="ar-SA"/>
              </w:rPr>
            </w:pPr>
            <w:r>
              <w:rPr>
                <w:kern w:val="0"/>
                <w:lang w:eastAsia="en-US" w:bidi="ar-SA"/>
              </w:rPr>
              <w:t>Bonus question (survey)</w:t>
            </w:r>
          </w:p>
        </w:tc>
        <w:tc>
          <w:tcPr>
            <w:tcW w:w="1995" w:type="dxa"/>
            <w:tcBorders/>
          </w:tcPr>
          <w:p>
            <w:pPr>
              <w:pStyle w:val="Normal"/>
              <w:widowControl/>
              <w:spacing w:lineRule="auto" w:line="240" w:before="60" w:after="60"/>
              <w:rPr>
                <w:kern w:val="0"/>
                <w:lang w:eastAsia="en-US" w:bidi="ar-SA"/>
              </w:rPr>
            </w:pPr>
            <w:r>
              <w:rPr>
                <w:kern w:val="0"/>
                <w:lang w:eastAsia="en-US" w:bidi="ar-SA"/>
              </w:rPr>
              <w:t>+10 XP</w:t>
            </w:r>
          </w:p>
        </w:tc>
        <w:tc>
          <w:tcPr>
            <w:tcW w:w="3106" w:type="dxa"/>
            <w:tcBorders/>
          </w:tcPr>
          <w:p>
            <w:pPr>
              <w:pStyle w:val="Normal"/>
              <w:widowControl/>
              <w:spacing w:lineRule="auto" w:line="240" w:before="60" w:after="60"/>
              <w:rPr>
                <w:kern w:val="0"/>
                <w:lang w:eastAsia="en-US" w:bidi="ar-SA"/>
              </w:rPr>
            </w:pPr>
            <w:r>
              <w:rPr>
                <w:kern w:val="0"/>
                <w:lang w:eastAsia="en-US" w:bidi="ar-SA"/>
              </w:rPr>
              <w:t>Optional follow-up</w:t>
            </w:r>
          </w:p>
        </w:tc>
      </w:tr>
      <w:tr>
        <w:trPr>
          <w:trHeight w:val="300" w:hRule="atLeast"/>
        </w:trPr>
        <w:tc>
          <w:tcPr>
            <w:tcW w:w="3494" w:type="dxa"/>
            <w:tcBorders/>
          </w:tcPr>
          <w:p>
            <w:pPr>
              <w:pStyle w:val="Normal"/>
              <w:widowControl/>
              <w:spacing w:lineRule="auto" w:line="240" w:before="60" w:after="60"/>
              <w:rPr>
                <w:color w:themeColor="text1" w:val="000000"/>
              </w:rPr>
            </w:pPr>
            <w:r>
              <w:rPr>
                <w:color w:themeColor="text1" w:val="000000"/>
                <w:kern w:val="0"/>
                <w:lang w:eastAsia="en-US" w:bidi="ar-SA"/>
              </w:rPr>
              <w:t>User registration (sign-up)</w:t>
            </w:r>
          </w:p>
        </w:tc>
        <w:tc>
          <w:tcPr>
            <w:tcW w:w="1995" w:type="dxa"/>
            <w:tcBorders/>
          </w:tcPr>
          <w:p>
            <w:pPr>
              <w:pStyle w:val="Normal"/>
              <w:widowControl/>
              <w:spacing w:lineRule="auto" w:line="240" w:before="60" w:after="60"/>
              <w:rPr>
                <w:kern w:val="0"/>
                <w:lang w:eastAsia="en-US" w:bidi="ar-SA"/>
              </w:rPr>
            </w:pPr>
            <w:r>
              <w:rPr>
                <w:kern w:val="0"/>
                <w:lang w:eastAsia="en-US" w:bidi="ar-SA"/>
              </w:rPr>
              <w:t>20 XP</w:t>
            </w:r>
          </w:p>
        </w:tc>
        <w:tc>
          <w:tcPr>
            <w:tcW w:w="3106" w:type="dxa"/>
            <w:tcBorders/>
          </w:tcPr>
          <w:p>
            <w:pPr>
              <w:pStyle w:val="Normal"/>
              <w:widowControl/>
              <w:spacing w:lineRule="auto" w:line="240" w:before="60" w:after="60"/>
              <w:rPr>
                <w:kern w:val="0"/>
                <w:lang w:eastAsia="en-US" w:bidi="ar-SA"/>
              </w:rPr>
            </w:pPr>
            <w:r>
              <w:rPr>
                <w:kern w:val="0"/>
                <w:lang w:eastAsia="en-US" w:bidi="ar-SA"/>
              </w:rPr>
              <w:t>One-time reward</w:t>
            </w:r>
          </w:p>
        </w:tc>
      </w:tr>
      <w:tr>
        <w:trPr>
          <w:trHeight w:val="300" w:hRule="atLeast"/>
        </w:trPr>
        <w:tc>
          <w:tcPr>
            <w:tcW w:w="3494" w:type="dxa"/>
            <w:tcBorders/>
          </w:tcPr>
          <w:p>
            <w:pPr>
              <w:pStyle w:val="Normal"/>
              <w:widowControl/>
              <w:spacing w:lineRule="auto" w:line="240" w:before="60" w:after="60"/>
              <w:rPr>
                <w:kern w:val="0"/>
                <w:lang w:eastAsia="en-US" w:bidi="ar-SA"/>
              </w:rPr>
            </w:pPr>
            <w:r>
              <w:rPr>
                <w:kern w:val="0"/>
                <w:lang w:eastAsia="en-US" w:bidi="ar-SA"/>
              </w:rPr>
              <w:t>Daily app engagement</w:t>
            </w:r>
          </w:p>
        </w:tc>
        <w:tc>
          <w:tcPr>
            <w:tcW w:w="1995" w:type="dxa"/>
            <w:tcBorders/>
          </w:tcPr>
          <w:p>
            <w:pPr>
              <w:pStyle w:val="Normal"/>
              <w:widowControl/>
              <w:spacing w:lineRule="auto" w:line="240" w:before="60" w:after="60"/>
              <w:rPr>
                <w:kern w:val="0"/>
                <w:lang w:eastAsia="en-US" w:bidi="ar-SA"/>
              </w:rPr>
            </w:pPr>
            <w:r>
              <w:rPr>
                <w:kern w:val="0"/>
                <w:lang w:eastAsia="en-US" w:bidi="ar-SA"/>
              </w:rPr>
              <w:t>10 XP</w:t>
            </w:r>
          </w:p>
        </w:tc>
        <w:tc>
          <w:tcPr>
            <w:tcW w:w="3106" w:type="dxa"/>
            <w:tcBorders/>
          </w:tcPr>
          <w:p>
            <w:pPr>
              <w:pStyle w:val="Normal"/>
              <w:widowControl/>
              <w:spacing w:lineRule="auto" w:line="240" w:before="60" w:after="60"/>
              <w:rPr>
                <w:kern w:val="0"/>
                <w:lang w:eastAsia="en-US" w:bidi="ar-SA"/>
              </w:rPr>
            </w:pPr>
            <w:r>
              <w:rPr>
                <w:kern w:val="0"/>
                <w:lang w:eastAsia="en-US" w:bidi="ar-SA"/>
              </w:rPr>
              <w:t>Definition TBD</w:t>
            </w:r>
          </w:p>
        </w:tc>
      </w:tr>
      <w:tr>
        <w:trPr>
          <w:trHeight w:val="300" w:hRule="atLeast"/>
        </w:trPr>
        <w:tc>
          <w:tcPr>
            <w:tcW w:w="3494" w:type="dxa"/>
            <w:tcBorders/>
          </w:tcPr>
          <w:p>
            <w:pPr>
              <w:pStyle w:val="Normal"/>
              <w:widowControl/>
              <w:spacing w:lineRule="auto" w:line="240" w:before="60" w:after="60"/>
              <w:rPr>
                <w:color w:themeColor="text1" w:val="000000"/>
              </w:rPr>
            </w:pPr>
            <w:r>
              <w:rPr>
                <w:color w:themeColor="text1" w:val="000000"/>
                <w:kern w:val="0"/>
                <w:lang w:eastAsia="en-US" w:bidi="ar-SA"/>
              </w:rPr>
              <w:t>"What Would You Do?" response</w:t>
            </w:r>
          </w:p>
        </w:tc>
        <w:tc>
          <w:tcPr>
            <w:tcW w:w="1995" w:type="dxa"/>
            <w:tcBorders/>
          </w:tcPr>
          <w:p>
            <w:pPr>
              <w:pStyle w:val="Normal"/>
              <w:widowControl/>
              <w:spacing w:lineRule="auto" w:line="240" w:before="60" w:after="60"/>
              <w:rPr>
                <w:kern w:val="0"/>
                <w:lang w:eastAsia="en-US" w:bidi="ar-SA"/>
              </w:rPr>
            </w:pPr>
            <w:r>
              <w:rPr>
                <w:kern w:val="0"/>
                <w:lang w:eastAsia="en-US" w:bidi="ar-SA"/>
              </w:rPr>
              <w:t>20 XP</w:t>
            </w:r>
          </w:p>
        </w:tc>
        <w:tc>
          <w:tcPr>
            <w:tcW w:w="3106" w:type="dxa"/>
            <w:tcBorders/>
          </w:tcPr>
          <w:p>
            <w:pPr>
              <w:pStyle w:val="Normal"/>
              <w:widowControl/>
              <w:spacing w:lineRule="auto" w:line="240" w:before="60" w:after="60"/>
              <w:rPr>
                <w:kern w:val="0"/>
                <w:lang w:eastAsia="en-US" w:bidi="ar-SA"/>
              </w:rPr>
            </w:pPr>
            <w:r>
              <w:rPr>
                <w:kern w:val="0"/>
                <w:lang w:eastAsia="en-US" w:bidi="ar-SA"/>
              </w:rPr>
              <w:t>Per response</w:t>
            </w:r>
          </w:p>
        </w:tc>
      </w:tr>
    </w:tbl>
    <w:p>
      <w:pPr>
        <w:pStyle w:val="Normal"/>
        <w:spacing w:before="60" w:after="60"/>
        <w:rPr/>
      </w:pPr>
      <w:r>
        <w:rPr/>
      </w:r>
    </w:p>
    <w:p>
      <w:pPr>
        <w:pStyle w:val="Normal"/>
        <w:spacing w:before="60" w:after="60"/>
        <w:rPr/>
      </w:pPr>
      <w:r>
        <w:rPr/>
        <w:t>The range of XP earnings from quiz activities alone (600–1,200 XP across 15 questions) allows for approximately 6 to 12 level advancements, providing a meaningful progression arc for users who engage thoroughly with the quiz content.</w:t>
      </w:r>
    </w:p>
    <w:p>
      <w:pPr>
        <w:pStyle w:val="Heading4"/>
        <w:rPr>
          <w:rFonts w:eastAsia="Calibri" w:cs="Calibri"/>
        </w:rPr>
      </w:pPr>
      <w:bookmarkStart w:id="55" w:name="_Toc226016111"/>
      <w:r>
        <w:rPr/>
        <w:t>Eco- Coins and reward mechanism</w:t>
      </w:r>
      <w:bookmarkEnd w:id="55"/>
      <w:r>
        <w:rPr/>
        <w:t xml:space="preserve"> </w:t>
      </w:r>
    </w:p>
    <w:p>
      <w:pPr>
        <w:pStyle w:val="Normal"/>
        <w:spacing w:before="60" w:after="60"/>
        <w:rPr/>
      </w:pPr>
      <w:r>
        <w:rPr/>
        <w:t>Alongside XP, the application introduces a virtual currency called Eco-Coins, which functions as the reward medium within the gamification ecosystem. Eco-Coins are awarded each time a user advances to a new level, according to the formula:</w:t>
      </w:r>
    </w:p>
    <w:p>
      <w:pPr>
        <w:pStyle w:val="Normal"/>
        <w:spacing w:before="60" w:after="60"/>
        <w:rPr/>
      </w:pPr>
      <w:r>
        <w:rPr/>
        <w:t xml:space="preserve"> </w:t>
      </w:r>
    </w:p>
    <w:p>
      <w:pPr>
        <w:pStyle w:val="Normal"/>
        <w:spacing w:before="60" w:after="60"/>
        <w:jc w:val="center"/>
        <w:rPr>
          <w:b/>
          <w:bCs/>
        </w:rPr>
      </w:pPr>
      <w:r>
        <w:rPr>
          <w:b/>
          <w:bCs/>
        </w:rPr>
        <w:t>Eco-Coins earned per level-up = 5 + (current player level)</w:t>
      </w:r>
    </w:p>
    <w:p>
      <w:pPr>
        <w:pStyle w:val="Normal"/>
        <w:spacing w:before="60" w:after="60"/>
        <w:rPr/>
      </w:pPr>
      <w:r>
        <w:rPr/>
        <w:t xml:space="preserve"> </w:t>
      </w:r>
    </w:p>
    <w:p>
      <w:pPr>
        <w:pStyle w:val="Normal"/>
        <w:spacing w:before="60" w:after="60"/>
        <w:rPr/>
      </w:pPr>
      <w:r>
        <w:rPr/>
        <w:t>This progressive formula ensures that long-term users receive increasing rewards as they advance, incentivising continued engagement. Accumulated Eco-Coins can be redeemed in exchange for prizes or benefits, the catalogue of which is managed separately by the application administrators.</w:t>
      </w:r>
    </w:p>
    <w:p>
      <w:pPr>
        <w:pStyle w:val="Heading4"/>
        <w:jc w:val="start"/>
        <w:rPr/>
      </w:pPr>
      <w:bookmarkStart w:id="56" w:name="_Toc226016112"/>
      <w:r>
        <w:rPr/>
        <w:t>Level titles</w:t>
      </w:r>
      <w:bookmarkEnd w:id="56"/>
    </w:p>
    <w:p>
      <w:pPr>
        <w:pStyle w:val="Normal"/>
        <w:rPr/>
      </w:pPr>
      <w:r>
        <w:rPr/>
        <w:t>To further personalise the experience and provide symbolic recognition of progress, each level is associated with a thematic title available in both English and Greek. These titles reflect the application's sustainability mission, evolving from introductory environmental awareness at lower levels to leadership and advocacy roles at higher levels. The full set of level titles is presented in the table below:</w:t>
      </w:r>
    </w:p>
    <w:p>
      <w:pPr>
        <w:pStyle w:val="Caption"/>
        <w:keepNext w:val="true"/>
        <w:rPr/>
      </w:pPr>
      <w:bookmarkStart w:id="57" w:name="_Toc226020117"/>
      <w:r>
        <w:rPr/>
        <w:t xml:space="preserve">Table </w:t>
      </w:r>
      <w:r>
        <w:rPr/>
        <w:fldChar w:fldCharType="begin"/>
      </w:r>
      <w:r>
        <w:rPr/>
        <w:instrText xml:space="preserve"> SEQ Table \* ARABIC </w:instrText>
      </w:r>
      <w:r>
        <w:rPr/>
        <w:fldChar w:fldCharType="separate"/>
      </w:r>
      <w:r>
        <w:rPr/>
        <w:t>2</w:t>
      </w:r>
      <w:r>
        <w:rPr/>
        <w:fldChar w:fldCharType="end"/>
      </w:r>
      <w:r>
        <w:rPr/>
        <w:t xml:space="preserve"> Full set of level- titles</w:t>
      </w:r>
      <w:bookmarkEnd w:id="57"/>
    </w:p>
    <w:tbl>
      <w:tblPr>
        <w:tblStyle w:val="TableGrid"/>
        <w:tblW w:w="8595" w:type="dxa"/>
        <w:jc w:val="start"/>
        <w:tblInd w:w="0" w:type="dxa"/>
        <w:tblLayout w:type="fixed"/>
        <w:tblCellMar>
          <w:top w:w="0" w:type="dxa"/>
          <w:start w:w="108" w:type="dxa"/>
          <w:bottom w:w="0" w:type="dxa"/>
          <w:end w:w="108" w:type="dxa"/>
        </w:tblCellMar>
        <w:tblLook w:val="06a0" w:firstRow="1" w:noVBand="1" w:lastRow="0" w:firstColumn="1" w:lastColumn="0" w:noHBand="1"/>
      </w:tblPr>
      <w:tblGrid>
        <w:gridCol w:w="1095"/>
        <w:gridCol w:w="3194"/>
        <w:gridCol w:w="4306"/>
      </w:tblGrid>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Level</w:t>
            </w:r>
          </w:p>
        </w:tc>
        <w:tc>
          <w:tcPr>
            <w:tcW w:w="3194" w:type="dxa"/>
            <w:tcBorders/>
          </w:tcPr>
          <w:p>
            <w:pPr>
              <w:pStyle w:val="Normal"/>
              <w:widowControl/>
              <w:spacing w:lineRule="auto" w:line="240" w:before="60" w:after="60"/>
              <w:jc w:val="start"/>
              <w:rPr>
                <w:b/>
                <w:bCs/>
              </w:rPr>
            </w:pPr>
            <w:r>
              <w:rPr>
                <w:b/>
                <w:bCs/>
                <w:kern w:val="2"/>
                <w:lang w:eastAsia="en-US" w:bidi="ar-SA"/>
              </w:rPr>
              <w:t>English Title</w:t>
            </w:r>
          </w:p>
        </w:tc>
        <w:tc>
          <w:tcPr>
            <w:tcW w:w="4306" w:type="dxa"/>
            <w:tcBorders/>
          </w:tcPr>
          <w:p>
            <w:pPr>
              <w:pStyle w:val="Normal"/>
              <w:widowControl/>
              <w:spacing w:lineRule="auto" w:line="240" w:before="60" w:after="60"/>
              <w:jc w:val="start"/>
              <w:rPr>
                <w:b/>
                <w:bCs/>
              </w:rPr>
            </w:pPr>
            <w:r>
              <w:rPr>
                <w:b/>
                <w:bCs/>
                <w:kern w:val="2"/>
                <w:lang w:eastAsia="en-US" w:bidi="ar-SA"/>
              </w:rPr>
              <w:t>Greek Title</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1</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Curious Commuter</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Περίεργος Μετακινούμενος</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2</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Green Starter</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Πράσινος Αρχάριος</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3</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Eco Explorer</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Οικο-Εξερευνητής</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4</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Mindful Mover</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Συνειδητός Μετακινούμενος</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5</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Carbon Cutter</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Μειωτής Άνθρακα</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6</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Urban Cyclist</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Αστικός Ποδηλάτης</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7</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Public Transit Pro</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Ειδικός στις Δημόσιες Συγκοινωνίες</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8</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Clean Air Advocate</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Υποστηρικτής Καθαρού Αέρα</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9</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Low-Impact Living</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Ζωή Χαμηλού Αποτυπώματος</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10</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Sustainability Ally</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Σύμμαχος Βιωσιμότητας</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11</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City Greenkeeper</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Φύλακας Πρασίνου Πόλης</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12</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Eco Habit Builder</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Δημιουργός Οικολογικών Συνηθειών</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13</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Climate-Smart Citizen</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Κλιματικά Συνειδητός Πολίτης</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14</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Urban Nature Guardian</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Προστάτης Αστικής Φύσης</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15</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Sustainable Living Champion</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Πρωταθλητής Βιώσιμης Ζωής</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16</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Climate Action Leader</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Ηγέτης Κλιματικής Δράσης</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17</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Green City Influencer</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Πρεσβευτής Πράσινης Πόλης</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18</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Net-Zero Navigator</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Οδηγός Μηδενικού Αποτυπώματος</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19</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Urban Sustainability Master</w:t>
            </w:r>
          </w:p>
        </w:tc>
        <w:tc>
          <w:tcPr>
            <w:tcW w:w="4306" w:type="dxa"/>
            <w:tcBorders/>
          </w:tcPr>
          <w:p>
            <w:pPr>
              <w:pStyle w:val="Normal"/>
              <w:widowControl/>
              <w:spacing w:lineRule="auto" w:line="240" w:before="60" w:after="60"/>
              <w:jc w:val="start"/>
              <w:rPr>
                <w:kern w:val="2"/>
                <w:lang w:eastAsia="en-US" w:bidi="ar-SA"/>
              </w:rPr>
            </w:pPr>
            <w:r>
              <w:rPr>
                <w:kern w:val="2"/>
                <w:lang w:eastAsia="en-US" w:bidi="ar-SA"/>
              </w:rPr>
              <w:t>Δάσκαλος Αστικής Βιωσιμότητας</w:t>
            </w:r>
          </w:p>
        </w:tc>
      </w:tr>
      <w:tr>
        <w:trPr>
          <w:trHeight w:val="300" w:hRule="atLeast"/>
        </w:trPr>
        <w:tc>
          <w:tcPr>
            <w:tcW w:w="1095" w:type="dxa"/>
            <w:tcBorders/>
          </w:tcPr>
          <w:p>
            <w:pPr>
              <w:pStyle w:val="Normal"/>
              <w:widowControl/>
              <w:spacing w:lineRule="auto" w:line="240" w:before="60" w:after="60"/>
              <w:jc w:val="start"/>
              <w:rPr>
                <w:b/>
                <w:bCs/>
              </w:rPr>
            </w:pPr>
            <w:r>
              <w:rPr>
                <w:b/>
                <w:bCs/>
                <w:kern w:val="2"/>
                <w:lang w:eastAsia="en-US" w:bidi="ar-SA"/>
              </w:rPr>
              <w:t>20</w:t>
            </w:r>
          </w:p>
        </w:tc>
        <w:tc>
          <w:tcPr>
            <w:tcW w:w="3194" w:type="dxa"/>
            <w:tcBorders/>
          </w:tcPr>
          <w:p>
            <w:pPr>
              <w:pStyle w:val="Normal"/>
              <w:widowControl/>
              <w:spacing w:lineRule="auto" w:line="240" w:before="60" w:after="60"/>
              <w:jc w:val="start"/>
              <w:rPr>
                <w:kern w:val="2"/>
                <w:lang w:eastAsia="en-US" w:bidi="ar-SA"/>
              </w:rPr>
            </w:pPr>
            <w:r>
              <w:rPr>
                <w:kern w:val="2"/>
                <w:lang w:eastAsia="en-US" w:bidi="ar-SA"/>
              </w:rPr>
              <w:t>Future City Architect</w:t>
            </w:r>
          </w:p>
        </w:tc>
        <w:tc>
          <w:tcPr>
            <w:tcW w:w="4306" w:type="dxa"/>
            <w:tcBorders/>
          </w:tcPr>
          <w:p>
            <w:pPr>
              <w:pStyle w:val="Normal"/>
              <w:widowControl/>
              <w:spacing w:lineRule="auto" w:line="240" w:before="60" w:after="60"/>
              <w:jc w:val="start"/>
              <w:rPr>
                <w:lang w:val="el-GR"/>
              </w:rPr>
            </w:pPr>
            <w:r>
              <w:rPr>
                <w:kern w:val="2"/>
                <w:lang w:val="el-GR" w:eastAsia="en-US" w:bidi="ar-SA"/>
              </w:rPr>
              <w:t>Αρχιτέκτονας της Πόλης του Μέλλοντος</w:t>
            </w:r>
          </w:p>
        </w:tc>
      </w:tr>
    </w:tbl>
    <w:p>
      <w:pPr>
        <w:pStyle w:val="Normal"/>
        <w:rPr>
          <w:lang w:val="el-GR"/>
        </w:rPr>
      </w:pPr>
      <w:r>
        <w:rPr>
          <w:lang w:val="el-GR"/>
        </w:rPr>
      </w:r>
    </w:p>
    <w:p>
      <w:pPr>
        <w:pStyle w:val="Normal"/>
        <w:rPr>
          <w:rFonts w:eastAsia="Aptos"/>
        </w:rPr>
      </w:pPr>
      <w:r>
        <w:rPr>
          <w:rFonts w:eastAsia="游明朝" w:eastAsiaTheme="minorEastAsia"/>
        </w:rPr>
        <w:t>These titles serve a dual function: they provide users with a sense of identity and achievement, and they reinforce the application's broader messaging around sustainable mobility and environmental responsibility.</w:t>
      </w:r>
    </w:p>
    <w:p>
      <w:pPr>
        <w:pStyle w:val="Heading4"/>
        <w:rPr>
          <w:rFonts w:ascii="Arial" w:hAnsi="Arial"/>
          <w:b/>
          <w:bCs/>
          <w:sz w:val="24"/>
          <w:szCs w:val="24"/>
        </w:rPr>
      </w:pPr>
      <w:bookmarkStart w:id="58" w:name="_Toc226016113"/>
      <w:r>
        <w:rPr/>
        <w:t>"What Would You Do?" Interactive Feature</w:t>
      </w:r>
      <w:bookmarkEnd w:id="58"/>
    </w:p>
    <w:p>
      <w:pPr>
        <w:pStyle w:val="Normal"/>
        <w:spacing w:before="60" w:after="60"/>
        <w:rPr/>
      </w:pPr>
      <w:r>
        <w:rPr/>
        <w:t>In addition to the quiz and survey modules, the gamification system includes a dedicated interactive feature titled "What Would You Do?". This feature presents users with scenario-based questions related to urban mobility choices and environmental behaviour, rewarding each response with 20 XP. This feature broadens the range of engagement mechanisms, offering a narrative or deliberative format that complements the factual nature of the quiz and the structured format of the surveys.</w:t>
      </w:r>
    </w:p>
    <w:p>
      <w:pPr>
        <w:pStyle w:val="Heading3"/>
        <w:rPr/>
      </w:pPr>
      <w:bookmarkStart w:id="59" w:name="_Toc226020135"/>
      <w:bookmarkStart w:id="60" w:name="_Toc226016114"/>
      <w:bookmarkStart w:id="61" w:name="_Toc480795967"/>
      <w:r>
        <w:rPr/>
        <w:t>2.3.3 Quiz module</w:t>
      </w:r>
      <w:bookmarkEnd w:id="59"/>
      <w:bookmarkEnd w:id="60"/>
      <w:bookmarkEnd w:id="61"/>
    </w:p>
    <w:p>
      <w:pPr>
        <w:pStyle w:val="Heading4"/>
        <w:rPr>
          <w:rFonts w:eastAsia="Calibri" w:cs="Calibri"/>
          <w:b/>
          <w:bCs/>
        </w:rPr>
      </w:pPr>
      <w:bookmarkStart w:id="62" w:name="_Toc226016115"/>
      <w:r>
        <w:rPr/>
        <w:t>Purpose and Objectives</w:t>
      </w:r>
      <w:bookmarkEnd w:id="62"/>
    </w:p>
    <w:p>
      <w:pPr>
        <w:pStyle w:val="Normal"/>
        <w:spacing w:before="60" w:after="60"/>
        <w:rPr/>
      </w:pPr>
      <w:r>
        <w:rPr/>
        <w:t>The quiz module serves as an educational and engagement tool designed to raise user awareness on topics directly related to the MOBILAIR project's thematic scope: air quality, urban mobility, sustainable transport modes, and the environmental impact of individual travel choices. Questions are presented through an interactive interface within the mobile application and are integrated with the gamification system to reward both participation and correct responses.</w:t>
      </w:r>
    </w:p>
    <w:p>
      <w:pPr>
        <w:pStyle w:val="Heading4"/>
        <w:rPr/>
      </w:pPr>
      <w:bookmarkStart w:id="63" w:name="_Toc226016116"/>
      <w:r>
        <w:rPr/>
        <w:t>Question Structure and Typology</w:t>
      </w:r>
      <w:bookmarkEnd w:id="63"/>
    </w:p>
    <w:p>
      <w:pPr>
        <w:pStyle w:val="Normal"/>
        <w:rPr/>
      </w:pPr>
      <w:r>
        <w:rPr/>
        <w:t>The quiz consists of 15 questions in total, distributed across three difficulty levels (Level 1, Level 2, Level 3), with five questions per level. Questions are presented in multiple-choice format, with either four options (for knowledge-based questions) or binary True/False format (for verification-type questions). Each question is accompanied by a brief explanatory note that is displayed following the user's response, reinforcing the educational objective of the module.</w:t>
      </w:r>
    </w:p>
    <w:p>
      <w:pPr>
        <w:pStyle w:val="Normal"/>
        <w:rPr/>
      </w:pPr>
      <w:r>
        <w:rPr/>
        <w:t>The thematic content of the quiz covers the following subject areas:</w:t>
      </w:r>
    </w:p>
    <w:p>
      <w:pPr>
        <w:pStyle w:val="ListParagraph"/>
        <w:numPr>
          <w:ilvl w:val="0"/>
          <w:numId w:val="2"/>
        </w:numPr>
        <w:spacing w:before="0" w:after="0"/>
        <w:contextualSpacing/>
        <w:rPr/>
      </w:pPr>
      <w:r>
        <w:rPr/>
        <w:t>Greenhouse gas emissions by transport mode</w:t>
      </w:r>
    </w:p>
    <w:p>
      <w:pPr>
        <w:pStyle w:val="ListParagraph"/>
        <w:numPr>
          <w:ilvl w:val="0"/>
          <w:numId w:val="2"/>
        </w:numPr>
        <w:spacing w:before="0" w:after="0"/>
        <w:contextualSpacing/>
        <w:rPr/>
      </w:pPr>
      <w:r>
        <w:rPr/>
        <w:t>Air pollutants associated with road traffic (e.g. NO₂, PM2.5)</w:t>
      </w:r>
    </w:p>
    <w:p>
      <w:pPr>
        <w:pStyle w:val="ListParagraph"/>
        <w:numPr>
          <w:ilvl w:val="0"/>
          <w:numId w:val="2"/>
        </w:numPr>
        <w:spacing w:before="0" w:after="0"/>
        <w:contextualSpacing/>
        <w:rPr/>
      </w:pPr>
      <w:r>
        <w:rPr/>
        <w:t>Active mobility modes and their environmental benefits</w:t>
      </w:r>
    </w:p>
    <w:p>
      <w:pPr>
        <w:pStyle w:val="ListParagraph"/>
        <w:numPr>
          <w:ilvl w:val="0"/>
          <w:numId w:val="2"/>
        </w:numPr>
        <w:spacing w:before="0" w:after="0"/>
        <w:contextualSpacing/>
        <w:rPr/>
      </w:pPr>
      <w:bookmarkStart w:id="64" w:name="_Int_1Wugjov8"/>
      <w:r>
        <w:rPr/>
        <w:t>Car-sharing</w:t>
      </w:r>
      <w:bookmarkEnd w:id="64"/>
      <w:r>
        <w:rPr/>
        <w:t xml:space="preserve"> and its impact on vehicle numbers</w:t>
      </w:r>
    </w:p>
    <w:p>
      <w:pPr>
        <w:pStyle w:val="ListParagraph"/>
        <w:numPr>
          <w:ilvl w:val="0"/>
          <w:numId w:val="2"/>
        </w:numPr>
        <w:spacing w:before="0" w:after="0"/>
        <w:contextualSpacing/>
        <w:rPr/>
      </w:pPr>
      <w:r>
        <w:rPr/>
        <w:t>Lifecycle emissions of electric vehicles</w:t>
      </w:r>
    </w:p>
    <w:p>
      <w:pPr>
        <w:pStyle w:val="ListParagraph"/>
        <w:numPr>
          <w:ilvl w:val="0"/>
          <w:numId w:val="2"/>
        </w:numPr>
        <w:spacing w:before="0" w:after="0"/>
        <w:contextualSpacing/>
        <w:rPr/>
      </w:pPr>
      <w:r>
        <w:rPr/>
        <w:t>Cycling performance and urban cycling coverage</w:t>
      </w:r>
    </w:p>
    <w:p>
      <w:pPr>
        <w:pStyle w:val="ListParagraph"/>
        <w:numPr>
          <w:ilvl w:val="0"/>
          <w:numId w:val="2"/>
        </w:numPr>
        <w:spacing w:before="0" w:after="0"/>
        <w:contextualSpacing/>
        <w:rPr/>
      </w:pPr>
      <w:r>
        <w:rPr/>
        <w:t>Definition and scope of micromobility</w:t>
      </w:r>
    </w:p>
    <w:p>
      <w:pPr>
        <w:pStyle w:val="ListParagraph"/>
        <w:numPr>
          <w:ilvl w:val="0"/>
          <w:numId w:val="2"/>
        </w:numPr>
        <w:spacing w:before="0" w:after="0"/>
        <w:contextualSpacing/>
        <w:rPr/>
      </w:pPr>
      <w:r>
        <w:rPr/>
        <w:t>Carbon sequestration and vehicle CO₂ output</w:t>
      </w:r>
    </w:p>
    <w:p>
      <w:pPr>
        <w:pStyle w:val="ListParagraph"/>
        <w:numPr>
          <w:ilvl w:val="0"/>
          <w:numId w:val="2"/>
        </w:numPr>
        <w:spacing w:before="0" w:after="0"/>
        <w:contextualSpacing/>
        <w:rPr/>
      </w:pPr>
      <w:r>
        <w:rPr/>
        <w:t>Share of transport in urban CO₂ emissions</w:t>
      </w:r>
    </w:p>
    <w:p>
      <w:pPr>
        <w:pStyle w:val="ListParagraph"/>
        <w:numPr>
          <w:ilvl w:val="0"/>
          <w:numId w:val="2"/>
        </w:numPr>
        <w:spacing w:before="0" w:after="0"/>
        <w:contextualSpacing/>
        <w:rPr/>
      </w:pPr>
      <w:r>
        <w:rPr/>
        <w:t>In-vehicle air quality relative to outdoor environment</w:t>
      </w:r>
    </w:p>
    <w:p>
      <w:pPr>
        <w:pStyle w:val="ListParagraph"/>
        <w:numPr>
          <w:ilvl w:val="0"/>
          <w:numId w:val="2"/>
        </w:numPr>
        <w:spacing w:before="0" w:after="0"/>
        <w:contextualSpacing/>
        <w:rPr/>
      </w:pPr>
      <w:r>
        <w:rPr/>
        <w:t>Time losses due to traffic congestion in European cities</w:t>
      </w:r>
    </w:p>
    <w:p>
      <w:pPr>
        <w:pStyle w:val="ListParagraph"/>
        <w:numPr>
          <w:ilvl w:val="0"/>
          <w:numId w:val="2"/>
        </w:numPr>
        <w:spacing w:before="0" w:after="0"/>
        <w:contextualSpacing/>
        <w:rPr/>
      </w:pPr>
      <w:r>
        <w:rPr/>
        <w:t>Comparative environmental footprint of e-scooters versus buses</w:t>
      </w:r>
    </w:p>
    <w:p>
      <w:pPr>
        <w:pStyle w:val="ListParagraph"/>
        <w:spacing w:before="0" w:after="0"/>
        <w:ind w:hanging="360" w:start="720"/>
        <w:contextualSpacing/>
        <w:rPr/>
      </w:pPr>
      <w:r>
        <w:rPr/>
      </w:r>
    </w:p>
    <w:p>
      <w:pPr>
        <w:pStyle w:val="Heading4"/>
        <w:rPr>
          <w:rFonts w:eastAsia="Calibri" w:cs="Calibri"/>
        </w:rPr>
      </w:pPr>
      <w:bookmarkStart w:id="65" w:name="_Toc226016117"/>
      <w:r>
        <w:rPr/>
        <w:t>Scoring and point allocation</w:t>
      </w:r>
      <w:bookmarkEnd w:id="65"/>
    </w:p>
    <w:p>
      <w:pPr>
        <w:pStyle w:val="Normal"/>
        <w:spacing w:before="60" w:after="60"/>
        <w:rPr/>
      </w:pPr>
      <w:r>
        <w:rPr/>
        <w:t>The scoring system distinguishes between correct and participation-only responses, as follows:</w:t>
      </w:r>
    </w:p>
    <w:tbl>
      <w:tblPr>
        <w:tblStyle w:val="TableGrid"/>
        <w:tblW w:w="8295" w:type="dxa"/>
        <w:jc w:val="start"/>
        <w:tblInd w:w="0" w:type="dxa"/>
        <w:tblLayout w:type="fixed"/>
        <w:tblCellMar>
          <w:top w:w="0" w:type="dxa"/>
          <w:start w:w="108" w:type="dxa"/>
          <w:bottom w:w="0" w:type="dxa"/>
          <w:end w:w="108" w:type="dxa"/>
        </w:tblCellMar>
        <w:tblLook w:val="06a0" w:firstRow="1" w:noVBand="1" w:lastRow="0" w:firstColumn="1" w:lastColumn="0" w:noHBand="1"/>
      </w:tblPr>
      <w:tblGrid>
        <w:gridCol w:w="2894"/>
        <w:gridCol w:w="2700"/>
        <w:gridCol w:w="2701"/>
      </w:tblGrid>
      <w:tr>
        <w:trPr>
          <w:trHeight w:val="300" w:hRule="atLeast"/>
        </w:trPr>
        <w:tc>
          <w:tcPr>
            <w:tcW w:w="2894" w:type="dxa"/>
            <w:tcBorders/>
          </w:tcPr>
          <w:p>
            <w:pPr>
              <w:pStyle w:val="Normal"/>
              <w:widowControl/>
              <w:spacing w:lineRule="auto" w:line="240" w:before="60" w:after="60"/>
              <w:rPr>
                <w:b/>
                <w:bCs/>
              </w:rPr>
            </w:pPr>
            <w:r>
              <w:rPr>
                <w:b/>
                <w:bCs/>
                <w:kern w:val="2"/>
                <w:lang w:eastAsia="en-US" w:bidi="ar-SA"/>
              </w:rPr>
              <w:t>Difficulty Level</w:t>
            </w:r>
          </w:p>
        </w:tc>
        <w:tc>
          <w:tcPr>
            <w:tcW w:w="2700" w:type="dxa"/>
            <w:tcBorders/>
          </w:tcPr>
          <w:p>
            <w:pPr>
              <w:pStyle w:val="Normal"/>
              <w:widowControl/>
              <w:spacing w:lineRule="auto" w:line="240" w:before="60" w:after="60"/>
              <w:rPr>
                <w:b/>
                <w:bCs/>
              </w:rPr>
            </w:pPr>
            <w:r>
              <w:rPr>
                <w:b/>
                <w:bCs/>
                <w:kern w:val="2"/>
                <w:lang w:eastAsia="en-US" w:bidi="ar-SA"/>
              </w:rPr>
              <w:t>Points (Correct Answer)</w:t>
            </w:r>
          </w:p>
        </w:tc>
        <w:tc>
          <w:tcPr>
            <w:tcW w:w="2701" w:type="dxa"/>
            <w:tcBorders/>
          </w:tcPr>
          <w:p>
            <w:pPr>
              <w:pStyle w:val="Normal"/>
              <w:widowControl/>
              <w:spacing w:lineRule="auto" w:line="240" w:before="60" w:after="60"/>
              <w:rPr>
                <w:b/>
                <w:bCs/>
              </w:rPr>
            </w:pPr>
            <w:r>
              <w:rPr>
                <w:b/>
                <w:bCs/>
                <w:kern w:val="2"/>
                <w:lang w:eastAsia="en-US" w:bidi="ar-SA"/>
              </w:rPr>
              <w:t>Points (Participation)</w:t>
            </w:r>
          </w:p>
        </w:tc>
      </w:tr>
      <w:tr>
        <w:trPr>
          <w:trHeight w:val="300" w:hRule="atLeast"/>
        </w:trPr>
        <w:tc>
          <w:tcPr>
            <w:tcW w:w="2894" w:type="dxa"/>
            <w:tcBorders/>
          </w:tcPr>
          <w:p>
            <w:pPr>
              <w:pStyle w:val="Normal"/>
              <w:widowControl/>
              <w:spacing w:lineRule="auto" w:line="240" w:before="60" w:after="60"/>
              <w:rPr>
                <w:color w:themeColor="text1" w:val="000000"/>
              </w:rPr>
            </w:pPr>
            <w:r>
              <w:rPr>
                <w:color w:themeColor="text1" w:val="000000"/>
                <w:kern w:val="2"/>
                <w:lang w:eastAsia="en-US" w:bidi="ar-SA"/>
              </w:rPr>
              <w:t>Level 1</w:t>
            </w:r>
          </w:p>
        </w:tc>
        <w:tc>
          <w:tcPr>
            <w:tcW w:w="2700" w:type="dxa"/>
            <w:tcBorders/>
          </w:tcPr>
          <w:p>
            <w:pPr>
              <w:pStyle w:val="Normal"/>
              <w:widowControl/>
              <w:spacing w:lineRule="auto" w:line="240" w:before="60" w:after="60"/>
              <w:rPr>
                <w:kern w:val="2"/>
                <w:lang w:eastAsia="en-US" w:bidi="ar-SA"/>
              </w:rPr>
            </w:pPr>
            <w:r>
              <w:rPr>
                <w:kern w:val="2"/>
                <w:lang w:eastAsia="en-US" w:bidi="ar-SA"/>
              </w:rPr>
              <w:t>40 XP</w:t>
            </w:r>
          </w:p>
        </w:tc>
        <w:tc>
          <w:tcPr>
            <w:tcW w:w="2701" w:type="dxa"/>
            <w:tcBorders/>
          </w:tcPr>
          <w:p>
            <w:pPr>
              <w:pStyle w:val="Normal"/>
              <w:widowControl/>
              <w:spacing w:lineRule="auto" w:line="240" w:before="60" w:after="60"/>
              <w:rPr>
                <w:kern w:val="2"/>
                <w:lang w:eastAsia="en-US" w:bidi="ar-SA"/>
              </w:rPr>
            </w:pPr>
            <w:r>
              <w:rPr>
                <w:kern w:val="2"/>
                <w:lang w:eastAsia="en-US" w:bidi="ar-SA"/>
              </w:rPr>
              <w:t>20 XP</w:t>
            </w:r>
          </w:p>
        </w:tc>
      </w:tr>
      <w:tr>
        <w:trPr>
          <w:trHeight w:val="300" w:hRule="atLeast"/>
        </w:trPr>
        <w:tc>
          <w:tcPr>
            <w:tcW w:w="2894" w:type="dxa"/>
            <w:tcBorders/>
          </w:tcPr>
          <w:p>
            <w:pPr>
              <w:pStyle w:val="Normal"/>
              <w:widowControl/>
              <w:spacing w:lineRule="auto" w:line="240" w:before="60" w:after="60"/>
              <w:rPr>
                <w:color w:themeColor="text1" w:val="000000"/>
              </w:rPr>
            </w:pPr>
            <w:r>
              <w:rPr>
                <w:color w:themeColor="text1" w:val="000000"/>
                <w:kern w:val="2"/>
                <w:lang w:eastAsia="en-US" w:bidi="ar-SA"/>
              </w:rPr>
              <w:t>Level 2</w:t>
            </w:r>
          </w:p>
        </w:tc>
        <w:tc>
          <w:tcPr>
            <w:tcW w:w="2700" w:type="dxa"/>
            <w:tcBorders/>
          </w:tcPr>
          <w:p>
            <w:pPr>
              <w:pStyle w:val="Normal"/>
              <w:widowControl/>
              <w:spacing w:lineRule="auto" w:line="240" w:before="60" w:after="60"/>
              <w:rPr>
                <w:kern w:val="2"/>
                <w:lang w:eastAsia="en-US" w:bidi="ar-SA"/>
              </w:rPr>
            </w:pPr>
            <w:r>
              <w:rPr>
                <w:kern w:val="2"/>
                <w:lang w:eastAsia="en-US" w:bidi="ar-SA"/>
              </w:rPr>
              <w:t>80 XP</w:t>
            </w:r>
          </w:p>
        </w:tc>
        <w:tc>
          <w:tcPr>
            <w:tcW w:w="2701" w:type="dxa"/>
            <w:tcBorders/>
          </w:tcPr>
          <w:p>
            <w:pPr>
              <w:pStyle w:val="Normal"/>
              <w:widowControl/>
              <w:spacing w:lineRule="auto" w:line="240" w:before="60" w:after="60"/>
              <w:rPr>
                <w:kern w:val="2"/>
                <w:lang w:eastAsia="en-US" w:bidi="ar-SA"/>
              </w:rPr>
            </w:pPr>
            <w:r>
              <w:rPr>
                <w:kern w:val="2"/>
                <w:lang w:eastAsia="en-US" w:bidi="ar-SA"/>
              </w:rPr>
              <w:t>40 XP</w:t>
            </w:r>
          </w:p>
        </w:tc>
      </w:tr>
      <w:tr>
        <w:trPr>
          <w:trHeight w:val="300" w:hRule="atLeast"/>
        </w:trPr>
        <w:tc>
          <w:tcPr>
            <w:tcW w:w="2894" w:type="dxa"/>
            <w:tcBorders/>
          </w:tcPr>
          <w:p>
            <w:pPr>
              <w:pStyle w:val="Normal"/>
              <w:widowControl/>
              <w:spacing w:lineRule="auto" w:line="240" w:before="60" w:after="60"/>
              <w:rPr>
                <w:color w:themeColor="text1" w:val="000000"/>
              </w:rPr>
            </w:pPr>
            <w:r>
              <w:rPr>
                <w:color w:themeColor="text1" w:val="000000"/>
                <w:kern w:val="2"/>
                <w:lang w:eastAsia="en-US" w:bidi="ar-SA"/>
              </w:rPr>
              <w:t>Level 3</w:t>
            </w:r>
          </w:p>
        </w:tc>
        <w:tc>
          <w:tcPr>
            <w:tcW w:w="2700" w:type="dxa"/>
            <w:tcBorders/>
          </w:tcPr>
          <w:p>
            <w:pPr>
              <w:pStyle w:val="Normal"/>
              <w:widowControl/>
              <w:spacing w:lineRule="auto" w:line="240" w:before="60" w:after="60"/>
              <w:rPr>
                <w:kern w:val="2"/>
                <w:lang w:eastAsia="en-US" w:bidi="ar-SA"/>
              </w:rPr>
            </w:pPr>
            <w:r>
              <w:rPr>
                <w:kern w:val="2"/>
                <w:lang w:eastAsia="en-US" w:bidi="ar-SA"/>
              </w:rPr>
              <w:t>120 XP</w:t>
            </w:r>
          </w:p>
        </w:tc>
        <w:tc>
          <w:tcPr>
            <w:tcW w:w="2701" w:type="dxa"/>
            <w:tcBorders/>
          </w:tcPr>
          <w:p>
            <w:pPr>
              <w:pStyle w:val="Normal"/>
              <w:widowControl/>
              <w:spacing w:lineRule="auto" w:line="240" w:before="60" w:after="60"/>
              <w:rPr>
                <w:kern w:val="2"/>
                <w:lang w:eastAsia="en-US" w:bidi="ar-SA"/>
              </w:rPr>
            </w:pPr>
            <w:r>
              <w:rPr>
                <w:kern w:val="2"/>
                <w:lang w:eastAsia="en-US" w:bidi="ar-SA"/>
              </w:rPr>
              <w:t>60 XP</w:t>
            </w:r>
          </w:p>
        </w:tc>
      </w:tr>
    </w:tbl>
    <w:p>
      <w:pPr>
        <w:pStyle w:val="Normal"/>
        <w:spacing w:before="60" w:after="60"/>
        <w:rPr/>
      </w:pPr>
      <w:r>
        <w:rPr/>
      </w:r>
    </w:p>
    <w:p>
      <w:pPr>
        <w:pStyle w:val="Normal"/>
        <w:spacing w:before="60" w:after="60"/>
        <w:rPr/>
      </w:pPr>
      <w:r>
        <w:rPr/>
        <w:t>This structure ensures that users are incentivised to engage with all questions regardless of their level of prior knowledge, while still rewarding accuracy. The total XP achievable from quiz completion ranges from 600 XP (all participation points, no correct answers) to 1,200 XP (all correct answers at full value), corresponding to between 6 and 12 player level advancements.</w:t>
      </w:r>
    </w:p>
    <w:p>
      <w:pPr>
        <w:pStyle w:val="Normal"/>
        <w:spacing w:before="60" w:after="60"/>
        <w:rPr/>
      </w:pPr>
      <w:r>
        <w:rPr/>
      </w:r>
    </w:p>
    <w:p>
      <w:pPr>
        <w:pStyle w:val="Heading3"/>
        <w:rPr/>
      </w:pPr>
      <w:bookmarkStart w:id="66" w:name="_Toc226020136"/>
      <w:bookmarkStart w:id="67" w:name="_Toc226016118"/>
      <w:bookmarkStart w:id="68" w:name="_Toc1391848655"/>
      <w:r>
        <w:rPr/>
        <w:t>2.3.4 Survey module</w:t>
      </w:r>
      <w:bookmarkEnd w:id="66"/>
      <w:bookmarkEnd w:id="67"/>
      <w:bookmarkEnd w:id="68"/>
    </w:p>
    <w:p>
      <w:pPr>
        <w:pStyle w:val="Heading4"/>
        <w:rPr>
          <w:rFonts w:eastAsia="Calibri" w:cs="Calibri"/>
        </w:rPr>
      </w:pPr>
      <w:bookmarkStart w:id="69" w:name="_Toc226016119"/>
      <w:r>
        <w:rPr/>
        <w:t>Purpose and objectives</w:t>
      </w:r>
      <w:bookmarkEnd w:id="69"/>
      <w:r>
        <w:rPr/>
        <w:t xml:space="preserve"> </w:t>
      </w:r>
    </w:p>
    <w:p>
      <w:pPr>
        <w:pStyle w:val="Normal"/>
        <w:spacing w:before="60" w:after="60"/>
        <w:rPr/>
      </w:pPr>
      <w:r>
        <w:rPr/>
        <w:t>The survey module is designed to collect structured data on user attitudes, behaviours, and preferences related to urban mobility and air quality. Unlike the quiz, which measures knowledge, the surveys capture self-reported information that feeds directly into the project's understanding of citizen needs, barriers to sustainable transport adoption, and willingness to change travel behaviour. Survey responses also contribute to the personalisation of the application's features, such as route recommendations and nudging content.</w:t>
      </w:r>
    </w:p>
    <w:p>
      <w:pPr>
        <w:pStyle w:val="Heading4"/>
        <w:jc w:val="start"/>
        <w:rPr/>
      </w:pPr>
      <w:bookmarkStart w:id="70" w:name="_Toc226016120"/>
      <w:r>
        <w:rPr/>
        <w:t>Survey design and branching logic</w:t>
      </w:r>
      <w:bookmarkEnd w:id="70"/>
    </w:p>
    <w:p>
      <w:pPr>
        <w:pStyle w:val="Normal"/>
        <w:spacing w:before="60" w:after="60"/>
        <w:rPr/>
      </w:pPr>
      <w:r>
        <w:rPr/>
        <w:t>The survey module comprises 10 thematic survey modules, each built around a branching question structure. Each module begins with a primary question, the response to which determines the follow-up question presented to the user. This branching design (also referred to as conditional logic) ensures that questions remain relevant to the individual user's context, reducing survey fatigue and improving response quality. Selected survey modules include an optional bonus question that rewards an additional 10 XP upon completion.</w:t>
      </w:r>
    </w:p>
    <w:p>
      <w:pPr>
        <w:pStyle w:val="Normal"/>
        <w:spacing w:before="60" w:after="60"/>
        <w:rPr/>
      </w:pPr>
      <w:r>
        <w:rPr/>
        <w:t>The 10 survey modules and their respective engagement objectives are summarised in the table below:</w:t>
      </w:r>
    </w:p>
    <w:p>
      <w:pPr>
        <w:pStyle w:val="Caption"/>
        <w:keepNext w:val="true"/>
        <w:rPr/>
      </w:pPr>
      <w:bookmarkStart w:id="71" w:name="_Toc226020118"/>
      <w:r>
        <w:rPr/>
        <w:t xml:space="preserve">Table </w:t>
      </w:r>
      <w:r>
        <w:rPr/>
        <w:fldChar w:fldCharType="begin"/>
      </w:r>
      <w:r>
        <w:rPr/>
        <w:instrText xml:space="preserve"> SEQ Table \* ARABIC </w:instrText>
      </w:r>
      <w:r>
        <w:rPr/>
        <w:fldChar w:fldCharType="separate"/>
      </w:r>
      <w:r>
        <w:rPr/>
        <w:t>3</w:t>
      </w:r>
      <w:r>
        <w:rPr/>
        <w:fldChar w:fldCharType="end"/>
      </w:r>
      <w:r>
        <w:rPr/>
        <w:t xml:space="preserve"> Summary of 10 survey modules and their respective engagement objectives</w:t>
      </w:r>
      <w:bookmarkEnd w:id="71"/>
      <w:r>
        <w:rPr/>
        <w:t xml:space="preserve"> </w:t>
      </w:r>
    </w:p>
    <w:tbl>
      <w:tblPr>
        <w:tblStyle w:val="TableGrid"/>
        <w:tblW w:w="8611" w:type="dxa"/>
        <w:jc w:val="start"/>
        <w:tblInd w:w="0" w:type="dxa"/>
        <w:tblLayout w:type="fixed"/>
        <w:tblCellMar>
          <w:top w:w="0" w:type="dxa"/>
          <w:start w:w="108" w:type="dxa"/>
          <w:bottom w:w="0" w:type="dxa"/>
          <w:end w:w="108" w:type="dxa"/>
        </w:tblCellMar>
        <w:tblLook w:val="06a0" w:firstRow="1" w:noVBand="1" w:lastRow="0" w:firstColumn="1" w:lastColumn="0" w:noHBand="1"/>
      </w:tblPr>
      <w:tblGrid>
        <w:gridCol w:w="899"/>
        <w:gridCol w:w="2806"/>
        <w:gridCol w:w="4906"/>
      </w:tblGrid>
      <w:tr>
        <w:trPr>
          <w:trHeight w:val="300" w:hRule="atLeast"/>
        </w:trPr>
        <w:tc>
          <w:tcPr>
            <w:tcW w:w="899" w:type="dxa"/>
            <w:tcBorders/>
            <w:vAlign w:val="center"/>
          </w:tcPr>
          <w:p>
            <w:pPr>
              <w:pStyle w:val="Normal"/>
              <w:widowControl/>
              <w:spacing w:lineRule="auto" w:line="240" w:before="60" w:after="60"/>
              <w:jc w:val="center"/>
              <w:rPr>
                <w:b/>
                <w:bCs/>
              </w:rPr>
            </w:pPr>
            <w:r>
              <w:rPr>
                <w:b/>
                <w:bCs/>
                <w:kern w:val="2"/>
                <w:lang w:eastAsia="en-US" w:bidi="ar-SA"/>
              </w:rPr>
              <w:t>No.</w:t>
            </w:r>
          </w:p>
        </w:tc>
        <w:tc>
          <w:tcPr>
            <w:tcW w:w="2806" w:type="dxa"/>
            <w:tcBorders/>
            <w:vAlign w:val="center"/>
          </w:tcPr>
          <w:p>
            <w:pPr>
              <w:pStyle w:val="Normal"/>
              <w:widowControl/>
              <w:spacing w:lineRule="auto" w:line="240" w:before="60" w:after="60"/>
              <w:jc w:val="center"/>
              <w:rPr>
                <w:b/>
                <w:bCs/>
              </w:rPr>
            </w:pPr>
            <w:r>
              <w:rPr>
                <w:b/>
                <w:bCs/>
                <w:kern w:val="2"/>
                <w:lang w:eastAsia="en-US" w:bidi="ar-SA"/>
              </w:rPr>
              <w:t>Survey Topic</w:t>
            </w:r>
          </w:p>
        </w:tc>
        <w:tc>
          <w:tcPr>
            <w:tcW w:w="4906" w:type="dxa"/>
            <w:tcBorders/>
            <w:vAlign w:val="center"/>
          </w:tcPr>
          <w:p>
            <w:pPr>
              <w:pStyle w:val="Normal"/>
              <w:widowControl/>
              <w:spacing w:lineRule="auto" w:line="240" w:before="60" w:after="60"/>
              <w:jc w:val="center"/>
              <w:rPr>
                <w:b/>
                <w:bCs/>
              </w:rPr>
            </w:pPr>
            <w:r>
              <w:rPr>
                <w:b/>
                <w:bCs/>
                <w:kern w:val="2"/>
                <w:lang w:eastAsia="en-US" w:bidi="ar-SA"/>
              </w:rPr>
              <w:t>Engagement Objective</w:t>
            </w:r>
          </w:p>
        </w:tc>
      </w:tr>
      <w:tr>
        <w:trPr>
          <w:trHeight w:val="300" w:hRule="atLeast"/>
        </w:trPr>
        <w:tc>
          <w:tcPr>
            <w:tcW w:w="899" w:type="dxa"/>
            <w:tcBorders/>
            <w:vAlign w:val="center"/>
          </w:tcPr>
          <w:p>
            <w:pPr>
              <w:pStyle w:val="Normal"/>
              <w:widowControl/>
              <w:spacing w:lineRule="auto" w:line="240" w:before="60" w:after="60"/>
              <w:jc w:val="center"/>
              <w:rPr>
                <w:color w:themeColor="text1" w:val="000000"/>
              </w:rPr>
            </w:pPr>
            <w:r>
              <w:rPr>
                <w:color w:themeColor="text1" w:val="000000"/>
                <w:kern w:val="2"/>
                <w:lang w:eastAsia="en-US" w:bidi="ar-SA"/>
              </w:rPr>
              <w:t>1</w:t>
            </w:r>
          </w:p>
        </w:tc>
        <w:tc>
          <w:tcPr>
            <w:tcW w:w="2806" w:type="dxa"/>
            <w:tcBorders/>
            <w:vAlign w:val="center"/>
          </w:tcPr>
          <w:p>
            <w:pPr>
              <w:pStyle w:val="Normal"/>
              <w:widowControl/>
              <w:spacing w:lineRule="auto" w:line="240" w:before="60" w:after="60"/>
              <w:jc w:val="center"/>
              <w:rPr>
                <w:color w:themeColor="text1" w:val="000000"/>
              </w:rPr>
            </w:pPr>
            <w:r>
              <w:rPr>
                <w:color w:themeColor="text1" w:val="000000"/>
                <w:kern w:val="2"/>
                <w:lang w:eastAsia="en-US" w:bidi="ar-SA"/>
              </w:rPr>
              <w:t>Cycling Mobility</w:t>
            </w:r>
          </w:p>
        </w:tc>
        <w:tc>
          <w:tcPr>
            <w:tcW w:w="4906" w:type="dxa"/>
            <w:tcBorders/>
            <w:vAlign w:val="center"/>
          </w:tcPr>
          <w:p>
            <w:pPr>
              <w:pStyle w:val="Normal"/>
              <w:widowControl/>
              <w:spacing w:lineRule="auto" w:line="240" w:before="60" w:after="60"/>
              <w:jc w:val="center"/>
              <w:rPr>
                <w:color w:themeColor="text1" w:val="000000"/>
              </w:rPr>
            </w:pPr>
            <w:r>
              <w:rPr>
                <w:color w:themeColor="text1" w:val="000000"/>
                <w:kern w:val="2"/>
                <w:lang w:eastAsia="en-US" w:bidi="ar-SA"/>
              </w:rPr>
              <w:t>Assess willingness to cycle and infrastructure needs</w:t>
            </w:r>
          </w:p>
        </w:tc>
      </w:tr>
      <w:tr>
        <w:trPr>
          <w:trHeight w:val="300" w:hRule="atLeast"/>
        </w:trPr>
        <w:tc>
          <w:tcPr>
            <w:tcW w:w="899" w:type="dxa"/>
            <w:tcBorders/>
            <w:vAlign w:val="center"/>
          </w:tcPr>
          <w:p>
            <w:pPr>
              <w:pStyle w:val="Normal"/>
              <w:widowControl/>
              <w:spacing w:lineRule="auto" w:line="240" w:before="60" w:after="60"/>
              <w:jc w:val="center"/>
              <w:rPr>
                <w:kern w:val="2"/>
                <w:lang w:eastAsia="en-US" w:bidi="ar-SA"/>
              </w:rPr>
            </w:pPr>
            <w:r>
              <w:rPr>
                <w:kern w:val="2"/>
                <w:lang w:eastAsia="en-US" w:bidi="ar-SA"/>
              </w:rPr>
              <w:t>2</w:t>
            </w:r>
          </w:p>
        </w:tc>
        <w:tc>
          <w:tcPr>
            <w:tcW w:w="2806" w:type="dxa"/>
            <w:tcBorders/>
            <w:vAlign w:val="center"/>
          </w:tcPr>
          <w:p>
            <w:pPr>
              <w:pStyle w:val="Normal"/>
              <w:widowControl/>
              <w:spacing w:lineRule="auto" w:line="240" w:before="60" w:after="60"/>
              <w:jc w:val="center"/>
              <w:rPr>
                <w:kern w:val="2"/>
                <w:lang w:eastAsia="en-US" w:bidi="ar-SA"/>
              </w:rPr>
            </w:pPr>
            <w:r>
              <w:rPr>
                <w:kern w:val="2"/>
                <w:lang w:eastAsia="en-US" w:bidi="ar-SA"/>
              </w:rPr>
              <w:t>Public Transport Usage</w:t>
            </w:r>
          </w:p>
        </w:tc>
        <w:tc>
          <w:tcPr>
            <w:tcW w:w="4906" w:type="dxa"/>
            <w:tcBorders/>
            <w:vAlign w:val="center"/>
          </w:tcPr>
          <w:p>
            <w:pPr>
              <w:pStyle w:val="Normal"/>
              <w:widowControl/>
              <w:spacing w:lineRule="auto" w:line="240" w:before="60" w:after="60"/>
              <w:jc w:val="center"/>
              <w:rPr>
                <w:kern w:val="2"/>
                <w:lang w:eastAsia="en-US" w:bidi="ar-SA"/>
              </w:rPr>
            </w:pPr>
            <w:r>
              <w:rPr>
                <w:kern w:val="2"/>
                <w:lang w:eastAsia="en-US" w:bidi="ar-SA"/>
              </w:rPr>
              <w:t>Understand barriers and motivations for PT adoption</w:t>
            </w:r>
          </w:p>
        </w:tc>
      </w:tr>
      <w:tr>
        <w:trPr>
          <w:trHeight w:val="300" w:hRule="atLeast"/>
        </w:trPr>
        <w:tc>
          <w:tcPr>
            <w:tcW w:w="899" w:type="dxa"/>
            <w:tcBorders/>
            <w:vAlign w:val="center"/>
          </w:tcPr>
          <w:p>
            <w:pPr>
              <w:pStyle w:val="Normal"/>
              <w:widowControl/>
              <w:spacing w:lineRule="auto" w:line="240" w:before="60" w:after="60"/>
              <w:jc w:val="center"/>
              <w:rPr>
                <w:color w:themeColor="text1" w:val="000000"/>
              </w:rPr>
            </w:pPr>
            <w:r>
              <w:rPr>
                <w:color w:themeColor="text1" w:val="000000"/>
                <w:kern w:val="2"/>
                <w:lang w:eastAsia="en-US" w:bidi="ar-SA"/>
              </w:rPr>
              <w:t>3</w:t>
            </w:r>
          </w:p>
        </w:tc>
        <w:tc>
          <w:tcPr>
            <w:tcW w:w="2806" w:type="dxa"/>
            <w:tcBorders/>
            <w:vAlign w:val="center"/>
          </w:tcPr>
          <w:p>
            <w:pPr>
              <w:pStyle w:val="Normal"/>
              <w:widowControl/>
              <w:spacing w:lineRule="auto" w:line="240" w:before="60" w:after="60"/>
              <w:jc w:val="center"/>
              <w:rPr>
                <w:color w:themeColor="text1" w:val="000000"/>
              </w:rPr>
            </w:pPr>
            <w:r>
              <w:rPr>
                <w:color w:themeColor="text1" w:val="000000"/>
                <w:kern w:val="2"/>
                <w:lang w:eastAsia="en-US" w:bidi="ar-SA"/>
              </w:rPr>
              <w:t>Electric Mobility</w:t>
            </w:r>
          </w:p>
        </w:tc>
        <w:tc>
          <w:tcPr>
            <w:tcW w:w="4906" w:type="dxa"/>
            <w:tcBorders/>
            <w:vAlign w:val="center"/>
          </w:tcPr>
          <w:p>
            <w:pPr>
              <w:pStyle w:val="Normal"/>
              <w:widowControl/>
              <w:spacing w:lineRule="auto" w:line="240" w:before="60" w:after="60"/>
              <w:jc w:val="center"/>
              <w:rPr>
                <w:color w:themeColor="text1" w:val="000000"/>
              </w:rPr>
            </w:pPr>
            <w:r>
              <w:rPr>
                <w:color w:themeColor="text1" w:val="000000"/>
                <w:kern w:val="2"/>
                <w:lang w:eastAsia="en-US" w:bidi="ar-SA"/>
              </w:rPr>
              <w:t>Gauge interest in EV/e-bike/e-scooter adoption</w:t>
            </w:r>
          </w:p>
        </w:tc>
      </w:tr>
      <w:tr>
        <w:trPr>
          <w:trHeight w:val="300" w:hRule="atLeast"/>
        </w:trPr>
        <w:tc>
          <w:tcPr>
            <w:tcW w:w="899" w:type="dxa"/>
            <w:tcBorders/>
            <w:vAlign w:val="center"/>
          </w:tcPr>
          <w:p>
            <w:pPr>
              <w:pStyle w:val="Normal"/>
              <w:widowControl/>
              <w:spacing w:lineRule="auto" w:line="240" w:before="60" w:after="60"/>
              <w:jc w:val="center"/>
              <w:rPr>
                <w:kern w:val="2"/>
                <w:lang w:eastAsia="en-US" w:bidi="ar-SA"/>
              </w:rPr>
            </w:pPr>
            <w:r>
              <w:rPr>
                <w:kern w:val="2"/>
                <w:lang w:eastAsia="en-US" w:bidi="ar-SA"/>
              </w:rPr>
              <w:t>4</w:t>
            </w:r>
          </w:p>
        </w:tc>
        <w:tc>
          <w:tcPr>
            <w:tcW w:w="2806" w:type="dxa"/>
            <w:tcBorders/>
            <w:vAlign w:val="center"/>
          </w:tcPr>
          <w:p>
            <w:pPr>
              <w:pStyle w:val="Normal"/>
              <w:widowControl/>
              <w:spacing w:lineRule="auto" w:line="240" w:before="60" w:after="60"/>
              <w:jc w:val="center"/>
              <w:rPr>
                <w:kern w:val="2"/>
                <w:lang w:eastAsia="en-US" w:bidi="ar-SA"/>
              </w:rPr>
            </w:pPr>
            <w:r>
              <w:rPr>
                <w:kern w:val="2"/>
                <w:lang w:eastAsia="en-US" w:bidi="ar-SA"/>
              </w:rPr>
              <w:t>Air Quality &amp; Health</w:t>
            </w:r>
          </w:p>
        </w:tc>
        <w:tc>
          <w:tcPr>
            <w:tcW w:w="4906" w:type="dxa"/>
            <w:tcBorders/>
            <w:vAlign w:val="center"/>
          </w:tcPr>
          <w:p>
            <w:pPr>
              <w:pStyle w:val="Normal"/>
              <w:widowControl/>
              <w:spacing w:lineRule="auto" w:line="240" w:before="60" w:after="60"/>
              <w:jc w:val="center"/>
              <w:rPr>
                <w:kern w:val="2"/>
                <w:lang w:eastAsia="en-US" w:bidi="ar-SA"/>
              </w:rPr>
            </w:pPr>
            <w:r>
              <w:rPr>
                <w:kern w:val="2"/>
                <w:lang w:eastAsia="en-US" w:bidi="ar-SA"/>
              </w:rPr>
              <w:t>Measure environmental awareness in travel decisions</w:t>
            </w:r>
          </w:p>
        </w:tc>
      </w:tr>
      <w:tr>
        <w:trPr>
          <w:trHeight w:val="300" w:hRule="atLeast"/>
        </w:trPr>
        <w:tc>
          <w:tcPr>
            <w:tcW w:w="899" w:type="dxa"/>
            <w:tcBorders/>
            <w:vAlign w:val="center"/>
          </w:tcPr>
          <w:p>
            <w:pPr>
              <w:pStyle w:val="Normal"/>
              <w:widowControl/>
              <w:spacing w:lineRule="auto" w:line="240" w:before="60" w:after="60"/>
              <w:jc w:val="center"/>
              <w:rPr>
                <w:color w:themeColor="text1" w:val="000000"/>
              </w:rPr>
            </w:pPr>
            <w:r>
              <w:rPr>
                <w:color w:themeColor="text1" w:val="000000"/>
                <w:kern w:val="2"/>
                <w:lang w:eastAsia="en-US" w:bidi="ar-SA"/>
              </w:rPr>
              <w:t>5</w:t>
            </w:r>
          </w:p>
        </w:tc>
        <w:tc>
          <w:tcPr>
            <w:tcW w:w="2806" w:type="dxa"/>
            <w:tcBorders/>
            <w:vAlign w:val="center"/>
          </w:tcPr>
          <w:p>
            <w:pPr>
              <w:pStyle w:val="Normal"/>
              <w:widowControl/>
              <w:spacing w:lineRule="auto" w:line="240" w:before="60" w:after="60"/>
              <w:jc w:val="center"/>
              <w:rPr>
                <w:color w:themeColor="text1" w:val="000000"/>
              </w:rPr>
            </w:pPr>
            <w:r>
              <w:rPr>
                <w:color w:themeColor="text1" w:val="000000"/>
                <w:kern w:val="2"/>
                <w:lang w:eastAsia="en-US" w:bidi="ar-SA"/>
              </w:rPr>
              <w:t>Micromobility</w:t>
            </w:r>
          </w:p>
        </w:tc>
        <w:tc>
          <w:tcPr>
            <w:tcW w:w="4906" w:type="dxa"/>
            <w:tcBorders/>
            <w:vAlign w:val="center"/>
          </w:tcPr>
          <w:p>
            <w:pPr>
              <w:pStyle w:val="Normal"/>
              <w:widowControl/>
              <w:spacing w:lineRule="auto" w:line="240" w:before="60" w:after="60"/>
              <w:jc w:val="center"/>
              <w:rPr>
                <w:color w:themeColor="text1" w:val="000000"/>
              </w:rPr>
            </w:pPr>
            <w:r>
              <w:rPr>
                <w:color w:themeColor="text1" w:val="000000"/>
                <w:kern w:val="2"/>
                <w:lang w:eastAsia="en-US" w:bidi="ar-SA"/>
              </w:rPr>
              <w:t>Explore shared e-scooter and bike usage patterns</w:t>
            </w:r>
          </w:p>
        </w:tc>
      </w:tr>
      <w:tr>
        <w:trPr>
          <w:trHeight w:val="300" w:hRule="atLeast"/>
        </w:trPr>
        <w:tc>
          <w:tcPr>
            <w:tcW w:w="899" w:type="dxa"/>
            <w:tcBorders/>
            <w:vAlign w:val="center"/>
          </w:tcPr>
          <w:p>
            <w:pPr>
              <w:pStyle w:val="Normal"/>
              <w:widowControl/>
              <w:spacing w:lineRule="auto" w:line="240" w:before="60" w:after="60"/>
              <w:jc w:val="center"/>
              <w:rPr>
                <w:kern w:val="2"/>
                <w:lang w:eastAsia="en-US" w:bidi="ar-SA"/>
              </w:rPr>
            </w:pPr>
            <w:r>
              <w:rPr>
                <w:kern w:val="2"/>
                <w:lang w:eastAsia="en-US" w:bidi="ar-SA"/>
              </w:rPr>
              <w:t>6</w:t>
            </w:r>
          </w:p>
        </w:tc>
        <w:tc>
          <w:tcPr>
            <w:tcW w:w="2806" w:type="dxa"/>
            <w:tcBorders/>
            <w:vAlign w:val="center"/>
          </w:tcPr>
          <w:p>
            <w:pPr>
              <w:pStyle w:val="Normal"/>
              <w:widowControl/>
              <w:spacing w:lineRule="auto" w:line="240" w:before="60" w:after="60"/>
              <w:jc w:val="center"/>
              <w:rPr>
                <w:kern w:val="2"/>
                <w:lang w:eastAsia="en-US" w:bidi="ar-SA"/>
              </w:rPr>
            </w:pPr>
            <w:r>
              <w:rPr>
                <w:kern w:val="2"/>
                <w:lang w:eastAsia="en-US" w:bidi="ar-SA"/>
              </w:rPr>
              <w:t>Parking &amp; Car Ownership Costs</w:t>
            </w:r>
          </w:p>
        </w:tc>
        <w:tc>
          <w:tcPr>
            <w:tcW w:w="4906" w:type="dxa"/>
            <w:tcBorders/>
            <w:vAlign w:val="center"/>
          </w:tcPr>
          <w:p>
            <w:pPr>
              <w:pStyle w:val="Normal"/>
              <w:widowControl/>
              <w:spacing w:lineRule="auto" w:line="240" w:before="60" w:after="60"/>
              <w:jc w:val="center"/>
              <w:rPr>
                <w:kern w:val="2"/>
                <w:lang w:eastAsia="en-US" w:bidi="ar-SA"/>
              </w:rPr>
            </w:pPr>
            <w:r>
              <w:rPr>
                <w:kern w:val="2"/>
                <w:lang w:eastAsia="en-US" w:bidi="ar-SA"/>
              </w:rPr>
              <w:t>Raise awareness of real costs of private car use</w:t>
            </w:r>
          </w:p>
        </w:tc>
      </w:tr>
      <w:tr>
        <w:trPr>
          <w:trHeight w:val="300" w:hRule="atLeast"/>
        </w:trPr>
        <w:tc>
          <w:tcPr>
            <w:tcW w:w="899" w:type="dxa"/>
            <w:tcBorders/>
            <w:vAlign w:val="center"/>
          </w:tcPr>
          <w:p>
            <w:pPr>
              <w:pStyle w:val="Normal"/>
              <w:widowControl/>
              <w:spacing w:lineRule="auto" w:line="240" w:before="60" w:after="60"/>
              <w:jc w:val="center"/>
              <w:rPr>
                <w:color w:themeColor="text1" w:val="000000"/>
              </w:rPr>
            </w:pPr>
            <w:r>
              <w:rPr>
                <w:color w:themeColor="text1" w:val="000000"/>
                <w:kern w:val="2"/>
                <w:lang w:eastAsia="en-US" w:bidi="ar-SA"/>
              </w:rPr>
              <w:t>7</w:t>
            </w:r>
          </w:p>
        </w:tc>
        <w:tc>
          <w:tcPr>
            <w:tcW w:w="2806" w:type="dxa"/>
            <w:tcBorders/>
            <w:vAlign w:val="center"/>
          </w:tcPr>
          <w:p>
            <w:pPr>
              <w:pStyle w:val="Normal"/>
              <w:widowControl/>
              <w:spacing w:lineRule="auto" w:line="240" w:before="60" w:after="60"/>
              <w:jc w:val="center"/>
              <w:rPr>
                <w:color w:themeColor="text1" w:val="000000"/>
              </w:rPr>
            </w:pPr>
            <w:r>
              <w:rPr>
                <w:color w:themeColor="text1" w:val="000000"/>
                <w:kern w:val="2"/>
                <w:lang w:eastAsia="en-US" w:bidi="ar-SA"/>
              </w:rPr>
              <w:t>Telework &amp; Reduced Commuting</w:t>
            </w:r>
          </w:p>
        </w:tc>
        <w:tc>
          <w:tcPr>
            <w:tcW w:w="4906" w:type="dxa"/>
            <w:tcBorders/>
            <w:vAlign w:val="center"/>
          </w:tcPr>
          <w:p>
            <w:pPr>
              <w:pStyle w:val="Normal"/>
              <w:widowControl/>
              <w:spacing w:lineRule="auto" w:line="240" w:before="60" w:after="60"/>
              <w:jc w:val="center"/>
              <w:rPr>
                <w:color w:themeColor="text1" w:val="000000"/>
              </w:rPr>
            </w:pPr>
            <w:r>
              <w:rPr>
                <w:color w:themeColor="text1" w:val="000000"/>
                <w:kern w:val="2"/>
                <w:lang w:eastAsia="en-US" w:bidi="ar-SA"/>
              </w:rPr>
              <w:t>Examine remote work's impact on mobility</w:t>
            </w:r>
          </w:p>
        </w:tc>
      </w:tr>
      <w:tr>
        <w:trPr>
          <w:trHeight w:val="300" w:hRule="atLeast"/>
        </w:trPr>
        <w:tc>
          <w:tcPr>
            <w:tcW w:w="899" w:type="dxa"/>
            <w:tcBorders/>
            <w:vAlign w:val="center"/>
          </w:tcPr>
          <w:p>
            <w:pPr>
              <w:pStyle w:val="Normal"/>
              <w:widowControl/>
              <w:spacing w:lineRule="auto" w:line="240" w:before="60" w:after="60"/>
              <w:jc w:val="center"/>
              <w:rPr>
                <w:kern w:val="2"/>
                <w:lang w:eastAsia="en-US" w:bidi="ar-SA"/>
              </w:rPr>
            </w:pPr>
            <w:r>
              <w:rPr>
                <w:kern w:val="2"/>
                <w:lang w:eastAsia="en-US" w:bidi="ar-SA"/>
              </w:rPr>
              <w:t>8</w:t>
            </w:r>
          </w:p>
        </w:tc>
        <w:tc>
          <w:tcPr>
            <w:tcW w:w="2806" w:type="dxa"/>
            <w:tcBorders/>
            <w:vAlign w:val="center"/>
          </w:tcPr>
          <w:p>
            <w:pPr>
              <w:pStyle w:val="Normal"/>
              <w:widowControl/>
              <w:spacing w:lineRule="auto" w:line="240" w:before="60" w:after="60"/>
              <w:jc w:val="center"/>
              <w:rPr>
                <w:kern w:val="2"/>
                <w:lang w:eastAsia="en-US" w:bidi="ar-SA"/>
              </w:rPr>
            </w:pPr>
            <w:r>
              <w:rPr>
                <w:kern w:val="2"/>
                <w:lang w:eastAsia="en-US" w:bidi="ar-SA"/>
              </w:rPr>
              <w:t>Awareness of Transport Alternatives</w:t>
            </w:r>
          </w:p>
        </w:tc>
        <w:tc>
          <w:tcPr>
            <w:tcW w:w="4906" w:type="dxa"/>
            <w:tcBorders/>
            <w:vAlign w:val="center"/>
          </w:tcPr>
          <w:p>
            <w:pPr>
              <w:pStyle w:val="Normal"/>
              <w:widowControl/>
              <w:spacing w:lineRule="auto" w:line="240" w:before="60" w:after="60"/>
              <w:jc w:val="center"/>
              <w:rPr>
                <w:kern w:val="2"/>
                <w:lang w:eastAsia="en-US" w:bidi="ar-SA"/>
              </w:rPr>
            </w:pPr>
            <w:r>
              <w:rPr>
                <w:kern w:val="2"/>
                <w:lang w:eastAsia="en-US" w:bidi="ar-SA"/>
              </w:rPr>
              <w:t>Identify information gaps for modal shift</w:t>
            </w:r>
          </w:p>
        </w:tc>
      </w:tr>
      <w:tr>
        <w:trPr>
          <w:trHeight w:val="300" w:hRule="atLeast"/>
        </w:trPr>
        <w:tc>
          <w:tcPr>
            <w:tcW w:w="899" w:type="dxa"/>
            <w:tcBorders/>
            <w:vAlign w:val="center"/>
          </w:tcPr>
          <w:p>
            <w:pPr>
              <w:pStyle w:val="Normal"/>
              <w:widowControl/>
              <w:spacing w:lineRule="auto" w:line="240" w:before="60" w:after="60"/>
              <w:jc w:val="center"/>
              <w:rPr>
                <w:color w:themeColor="text1" w:val="000000"/>
              </w:rPr>
            </w:pPr>
            <w:r>
              <w:rPr>
                <w:color w:themeColor="text1" w:val="000000"/>
                <w:kern w:val="2"/>
                <w:lang w:eastAsia="en-US" w:bidi="ar-SA"/>
              </w:rPr>
              <w:t>9</w:t>
            </w:r>
          </w:p>
        </w:tc>
        <w:tc>
          <w:tcPr>
            <w:tcW w:w="2806" w:type="dxa"/>
            <w:tcBorders/>
            <w:vAlign w:val="center"/>
          </w:tcPr>
          <w:p>
            <w:pPr>
              <w:pStyle w:val="Normal"/>
              <w:widowControl/>
              <w:spacing w:lineRule="auto" w:line="240" w:before="60" w:after="60"/>
              <w:jc w:val="center"/>
              <w:rPr>
                <w:color w:themeColor="text1" w:val="000000"/>
              </w:rPr>
            </w:pPr>
            <w:r>
              <w:rPr>
                <w:color w:themeColor="text1" w:val="000000"/>
                <w:kern w:val="2"/>
                <w:lang w:eastAsia="en-US" w:bidi="ar-SA"/>
              </w:rPr>
              <w:t>Willingness to Pay for Green Transport</w:t>
            </w:r>
          </w:p>
        </w:tc>
        <w:tc>
          <w:tcPr>
            <w:tcW w:w="4906" w:type="dxa"/>
            <w:tcBorders/>
            <w:vAlign w:val="center"/>
          </w:tcPr>
          <w:p>
            <w:pPr>
              <w:pStyle w:val="Normal"/>
              <w:widowControl/>
              <w:spacing w:lineRule="auto" w:line="240" w:before="60" w:after="60"/>
              <w:jc w:val="center"/>
              <w:rPr>
                <w:color w:themeColor="text1" w:val="000000"/>
              </w:rPr>
            </w:pPr>
            <w:r>
              <w:rPr>
                <w:color w:themeColor="text1" w:val="000000"/>
                <w:kern w:val="2"/>
                <w:lang w:eastAsia="en-US" w:bidi="ar-SA"/>
              </w:rPr>
              <w:t>Understand environmental value preference</w:t>
            </w:r>
          </w:p>
        </w:tc>
      </w:tr>
      <w:tr>
        <w:trPr>
          <w:trHeight w:val="300" w:hRule="atLeast"/>
        </w:trPr>
        <w:tc>
          <w:tcPr>
            <w:tcW w:w="899" w:type="dxa"/>
            <w:tcBorders/>
            <w:vAlign w:val="center"/>
          </w:tcPr>
          <w:p>
            <w:pPr>
              <w:pStyle w:val="Normal"/>
              <w:widowControl/>
              <w:spacing w:lineRule="auto" w:line="240" w:before="60" w:after="60"/>
              <w:jc w:val="center"/>
              <w:rPr>
                <w:kern w:val="2"/>
                <w:lang w:eastAsia="en-US" w:bidi="ar-SA"/>
              </w:rPr>
            </w:pPr>
            <w:r>
              <w:rPr>
                <w:kern w:val="2"/>
                <w:lang w:eastAsia="en-US" w:bidi="ar-SA"/>
              </w:rPr>
              <w:t>10</w:t>
            </w:r>
          </w:p>
        </w:tc>
        <w:tc>
          <w:tcPr>
            <w:tcW w:w="2806" w:type="dxa"/>
            <w:tcBorders/>
            <w:vAlign w:val="center"/>
          </w:tcPr>
          <w:p>
            <w:pPr>
              <w:pStyle w:val="Normal"/>
              <w:widowControl/>
              <w:spacing w:lineRule="auto" w:line="240" w:before="60" w:after="60"/>
              <w:jc w:val="center"/>
              <w:rPr>
                <w:kern w:val="2"/>
                <w:lang w:eastAsia="en-US" w:bidi="ar-SA"/>
              </w:rPr>
            </w:pPr>
            <w:r>
              <w:rPr>
                <w:kern w:val="2"/>
                <w:lang w:eastAsia="en-US" w:bidi="ar-SA"/>
              </w:rPr>
              <w:t>Multimodal Transport</w:t>
            </w:r>
          </w:p>
        </w:tc>
        <w:tc>
          <w:tcPr>
            <w:tcW w:w="4906" w:type="dxa"/>
            <w:tcBorders/>
            <w:vAlign w:val="center"/>
          </w:tcPr>
          <w:p>
            <w:pPr>
              <w:pStyle w:val="Normal"/>
              <w:widowControl/>
              <w:spacing w:lineRule="auto" w:line="240" w:before="60" w:after="60"/>
              <w:jc w:val="center"/>
              <w:rPr>
                <w:kern w:val="2"/>
                <w:lang w:eastAsia="en-US" w:bidi="ar-SA"/>
              </w:rPr>
            </w:pPr>
            <w:r>
              <w:rPr>
                <w:kern w:val="2"/>
                <w:lang w:eastAsia="en-US" w:bidi="ar-SA"/>
              </w:rPr>
              <w:t>Explore MaaS acceptance and multimodal habits</w:t>
            </w:r>
          </w:p>
        </w:tc>
      </w:tr>
    </w:tbl>
    <w:p>
      <w:pPr>
        <w:pStyle w:val="Heading4"/>
        <w:rPr>
          <w:rFonts w:eastAsia="Calibri" w:cs="Calibri"/>
        </w:rPr>
      </w:pPr>
      <w:bookmarkStart w:id="72" w:name="_Toc226016121"/>
      <w:r>
        <w:rPr/>
        <w:t>Scoring and point allocation</w:t>
      </w:r>
      <w:bookmarkEnd w:id="72"/>
    </w:p>
    <w:p>
      <w:pPr>
        <w:pStyle w:val="Normal"/>
        <w:spacing w:before="60" w:after="60"/>
        <w:rPr/>
      </w:pPr>
      <w:r>
        <w:rPr/>
        <w:t>Survey participation is rewarded as follows:</w:t>
      </w:r>
    </w:p>
    <w:tbl>
      <w:tblPr>
        <w:tblStyle w:val="TableGrid"/>
        <w:tblW w:w="7200" w:type="dxa"/>
        <w:jc w:val="start"/>
        <w:tblInd w:w="0" w:type="dxa"/>
        <w:tblLayout w:type="fixed"/>
        <w:tblCellMar>
          <w:top w:w="0" w:type="dxa"/>
          <w:start w:w="108" w:type="dxa"/>
          <w:bottom w:w="0" w:type="dxa"/>
          <w:end w:w="108" w:type="dxa"/>
        </w:tblCellMar>
        <w:tblLook w:val="06a0" w:firstRow="1" w:noVBand="1" w:lastRow="0" w:firstColumn="1" w:lastColumn="0" w:noHBand="1"/>
      </w:tblPr>
      <w:tblGrid>
        <w:gridCol w:w="3900"/>
        <w:gridCol w:w="3300"/>
      </w:tblGrid>
      <w:tr>
        <w:trPr>
          <w:trHeight w:val="300" w:hRule="atLeast"/>
        </w:trPr>
        <w:tc>
          <w:tcPr>
            <w:tcW w:w="3900" w:type="dxa"/>
            <w:tcBorders/>
          </w:tcPr>
          <w:p>
            <w:pPr>
              <w:pStyle w:val="Normal"/>
              <w:widowControl/>
              <w:spacing w:lineRule="auto" w:line="240" w:before="0" w:after="0"/>
              <w:jc w:val="center"/>
              <w:rPr>
                <w:rFonts w:eastAsia="Arial"/>
                <w:b/>
                <w:bCs/>
                <w:sz w:val="20"/>
                <w:szCs w:val="20"/>
              </w:rPr>
            </w:pPr>
            <w:r>
              <w:rPr>
                <w:rFonts w:eastAsia="Arial"/>
                <w:b/>
                <w:bCs/>
                <w:kern w:val="2"/>
                <w:sz w:val="20"/>
                <w:szCs w:val="20"/>
                <w:lang w:eastAsia="en-US" w:bidi="ar-SA"/>
              </w:rPr>
              <w:t>Action</w:t>
            </w:r>
          </w:p>
        </w:tc>
        <w:tc>
          <w:tcPr>
            <w:tcW w:w="3300" w:type="dxa"/>
            <w:tcBorders/>
          </w:tcPr>
          <w:p>
            <w:pPr>
              <w:pStyle w:val="Normal"/>
              <w:widowControl/>
              <w:spacing w:lineRule="auto" w:line="240" w:before="0" w:after="0"/>
              <w:jc w:val="center"/>
              <w:rPr>
                <w:rFonts w:eastAsia="Arial"/>
                <w:b/>
                <w:bCs/>
                <w:sz w:val="20"/>
                <w:szCs w:val="20"/>
              </w:rPr>
            </w:pPr>
            <w:r>
              <w:rPr>
                <w:rFonts w:eastAsia="Arial"/>
                <w:b/>
                <w:bCs/>
                <w:kern w:val="2"/>
                <w:sz w:val="20"/>
                <w:szCs w:val="20"/>
                <w:lang w:eastAsia="en-US" w:bidi="ar-SA"/>
              </w:rPr>
              <w:t>Points Awarded</w:t>
            </w:r>
          </w:p>
        </w:tc>
      </w:tr>
      <w:tr>
        <w:trPr>
          <w:trHeight w:val="300" w:hRule="atLeast"/>
        </w:trPr>
        <w:tc>
          <w:tcPr>
            <w:tcW w:w="3900" w:type="dxa"/>
            <w:tcBorders/>
          </w:tcPr>
          <w:p>
            <w:pPr>
              <w:pStyle w:val="Normal"/>
              <w:widowControl/>
              <w:spacing w:lineRule="auto" w:line="240" w:before="0" w:after="0"/>
              <w:rPr>
                <w:kern w:val="2"/>
                <w:lang w:eastAsia="en-US" w:bidi="ar-SA"/>
              </w:rPr>
            </w:pPr>
            <w:r>
              <w:rPr>
                <w:rFonts w:eastAsia="Arial"/>
                <w:color w:themeColor="text1" w:val="000000"/>
                <w:kern w:val="2"/>
                <w:sz w:val="20"/>
                <w:szCs w:val="20"/>
                <w:lang w:eastAsia="en-US" w:bidi="ar-SA"/>
              </w:rPr>
              <w:t>Survey completion (per survey pair)</w:t>
            </w:r>
          </w:p>
        </w:tc>
        <w:tc>
          <w:tcPr>
            <w:tcW w:w="3300" w:type="dxa"/>
            <w:tcBorders/>
          </w:tcPr>
          <w:p>
            <w:pPr>
              <w:pStyle w:val="Normal"/>
              <w:widowControl/>
              <w:spacing w:lineRule="auto" w:line="240" w:before="0" w:after="0"/>
              <w:jc w:val="center"/>
              <w:rPr>
                <w:kern w:val="2"/>
                <w:lang w:eastAsia="en-US" w:bidi="ar-SA"/>
              </w:rPr>
            </w:pPr>
            <w:r>
              <w:rPr>
                <w:rFonts w:eastAsia="Arial"/>
                <w:kern w:val="2"/>
                <w:sz w:val="20"/>
                <w:szCs w:val="20"/>
                <w:lang w:eastAsia="en-US" w:bidi="ar-SA"/>
              </w:rPr>
              <w:t>50 XP</w:t>
            </w:r>
          </w:p>
        </w:tc>
      </w:tr>
      <w:tr>
        <w:trPr>
          <w:trHeight w:val="300" w:hRule="atLeast"/>
        </w:trPr>
        <w:tc>
          <w:tcPr>
            <w:tcW w:w="3900" w:type="dxa"/>
            <w:tcBorders/>
          </w:tcPr>
          <w:p>
            <w:pPr>
              <w:pStyle w:val="Normal"/>
              <w:widowControl/>
              <w:spacing w:lineRule="auto" w:line="240" w:before="0" w:after="0"/>
              <w:rPr>
                <w:kern w:val="2"/>
                <w:lang w:eastAsia="en-US" w:bidi="ar-SA"/>
              </w:rPr>
            </w:pPr>
            <w:r>
              <w:rPr>
                <w:rFonts w:eastAsia="Arial"/>
                <w:kern w:val="2"/>
                <w:sz w:val="20"/>
                <w:szCs w:val="20"/>
                <w:lang w:eastAsia="en-US" w:bidi="ar-SA"/>
              </w:rPr>
              <w:t>Bonus question response</w:t>
            </w:r>
          </w:p>
        </w:tc>
        <w:tc>
          <w:tcPr>
            <w:tcW w:w="3300" w:type="dxa"/>
            <w:tcBorders/>
          </w:tcPr>
          <w:p>
            <w:pPr>
              <w:pStyle w:val="Normal"/>
              <w:widowControl/>
              <w:spacing w:lineRule="auto" w:line="240" w:before="0" w:after="0"/>
              <w:jc w:val="center"/>
              <w:rPr>
                <w:kern w:val="2"/>
                <w:lang w:eastAsia="en-US" w:bidi="ar-SA"/>
              </w:rPr>
            </w:pPr>
            <w:r>
              <w:rPr>
                <w:rFonts w:eastAsia="Arial"/>
                <w:kern w:val="2"/>
                <w:sz w:val="20"/>
                <w:szCs w:val="20"/>
                <w:lang w:eastAsia="en-US" w:bidi="ar-SA"/>
              </w:rPr>
              <w:t>+10 XP</w:t>
            </w:r>
          </w:p>
        </w:tc>
      </w:tr>
    </w:tbl>
    <w:p>
      <w:pPr>
        <w:pStyle w:val="Normal"/>
        <w:spacing w:before="60" w:after="60"/>
        <w:rPr/>
      </w:pPr>
      <w:r>
        <w:rPr/>
      </w:r>
    </w:p>
    <w:p>
      <w:pPr>
        <w:pStyle w:val="Normal"/>
        <w:spacing w:before="60" w:after="60"/>
        <w:rPr/>
      </w:pPr>
      <w:r>
        <w:rPr/>
        <w:t>Points are awarded upon completion of each survey module, irrespective of the specific answers provided, ensuring that data collection is not influenced by incentive-driven response bias. The bonus question, where present, offers additional XP for users who choose to provide further detail.</w:t>
      </w:r>
    </w:p>
    <w:p>
      <w:pPr>
        <w:pStyle w:val="Heading3"/>
        <w:rPr>
          <w:rFonts w:eastAsia="Calibri"/>
        </w:rPr>
      </w:pPr>
      <w:bookmarkStart w:id="73" w:name="_Toc226020137"/>
      <w:bookmarkStart w:id="74" w:name="_Toc226016122"/>
      <w:bookmarkStart w:id="75" w:name="_Toc1442055581"/>
      <w:r>
        <w:rPr/>
        <w:t>2.3.5 Integration within the Mobilair App and behavioural impact</w:t>
      </w:r>
      <w:bookmarkEnd w:id="73"/>
      <w:bookmarkEnd w:id="74"/>
      <w:bookmarkEnd w:id="75"/>
    </w:p>
    <w:p>
      <w:pPr>
        <w:pStyle w:val="Normal"/>
        <w:spacing w:before="60" w:after="60"/>
        <w:rPr/>
      </w:pPr>
      <w:r>
        <w:rPr/>
        <w:t>The gamification, quiz, and survey components are deeply integrated within the broader Mobilair application ecosystem. The XP and Eco-Coin systems connect across all engagement features, ensuring that users who interact with any aspect of the application, whether completing surveys, answering quiz questions, engaging with the eco-routing planner, or simply opening the application daily, are recognised and rewarded for their participation.</w:t>
      </w:r>
    </w:p>
    <w:p>
      <w:pPr>
        <w:pStyle w:val="Normal"/>
        <w:spacing w:before="60" w:after="60"/>
        <w:rPr/>
      </w:pPr>
      <w:r>
        <w:rPr/>
        <w:t xml:space="preserve"> </w:t>
      </w:r>
      <w:r>
        <w:rPr/>
        <w:t>From a behavioural standpoint, this integrated design supports several key mechanisms identified in the nudging and engagement literature. The level progression system provides users with continuous feedback on their engagement and sets implicit targets that encourage sustained participation. The quiz, with its explanatory follow-up content, aims to shift users from extrinsically motivated participation — earning points, toward intrinsically motivated engagement rooted in learning and environmental awareness. Survey responses, in turn, directly inform the personalised generalised cost score used in the multimodal trip planner (described in Section 2.4), enabling the application to tailor route recommendations to individual modal preferences. Finally, the level title system assigns users symbolic identities, such as 'Eco Explorer' or 'Climate Action Leader', that reinforce the project's sustainability values and foster a sense of shared purpose among participants.</w:t>
      </w:r>
    </w:p>
    <w:p>
      <w:pPr>
        <w:pStyle w:val="Normal"/>
        <w:spacing w:before="60" w:after="60"/>
        <w:rPr/>
      </w:pPr>
      <w:r>
        <w:rPr/>
        <w:t>Together, these features position the Mobilair application not merely as a trip-planning utility but as a comprehensive digital facilitator of sustainable mobility behaviour, aligned with the project's overarching objectives of reducing urban air pollution and promoting environmentally responsible travel choices.</w:t>
      </w:r>
    </w:p>
    <w:p>
      <w:pPr>
        <w:pStyle w:val="Heading2"/>
        <w:rPr/>
      </w:pPr>
      <w:bookmarkStart w:id="76" w:name="_Toc226020138"/>
      <w:bookmarkStart w:id="77" w:name="_Toc226016123"/>
      <w:bookmarkStart w:id="78" w:name="_Toc1481851970"/>
      <w:r>
        <w:rPr/>
        <w:t>2.4 Eco-Routing</w:t>
      </w:r>
      <w:bookmarkEnd w:id="76"/>
      <w:bookmarkEnd w:id="77"/>
      <w:bookmarkEnd w:id="78"/>
    </w:p>
    <w:p>
      <w:pPr>
        <w:pStyle w:val="Normal"/>
        <w:spacing w:lineRule="auto" w:line="259"/>
        <w:rPr>
          <w:rFonts w:eastAsia="Aptos"/>
          <w:kern w:val="0"/>
          <w:lang w:val="en-US"/>
          <w14:ligatures w14:val="none"/>
        </w:rPr>
      </w:pPr>
      <w:r>
        <w:rPr>
          <w:rFonts w:eastAsia="Aptos"/>
          <w:kern w:val="0"/>
          <w:lang w:val="en-US"/>
          <w14:ligatures w14:val="none"/>
        </w:rPr>
        <w:t>Mobilair has integrated an in-house developed multimodal trip planner that leverages the open source project OpenTripPlanner (OTP) as a robust aggregation service. This solution supports seamless urban mobility across pedestrian (w), own car (oc), shared eBike (b), shared scooter (s), public transport (pt), and own bike (ob) modes, empowering efficient door-to-door journeys.</w:t>
      </w:r>
    </w:p>
    <w:p>
      <w:pPr>
        <w:pStyle w:val="Normal"/>
        <w:spacing w:lineRule="auto" w:line="259"/>
        <w:rPr>
          <w:rFonts w:eastAsia="Aptos"/>
          <w:kern w:val="0"/>
          <w:lang w:val="en-US"/>
          <w14:ligatures w14:val="none"/>
        </w:rPr>
      </w:pPr>
      <w:r>
        <w:rPr>
          <w:rFonts w:eastAsia="Aptos"/>
          <w:kern w:val="0"/>
          <w:lang w:val="en-US"/>
          <w14:ligatures w14:val="none"/>
        </w:rPr>
        <w:t xml:space="preserve">The service optimally combines multiple modes of transport and produces viable connecting routes for the user’s preferred origin – destination pairs. For solving the multimodal trip planning problem, the various alternative unimodal and multimodal solutions that can be considered reasonable from users’ perspective in the city of Thessaloniki, Greece were identified. Considering the spatial allocation of the shared mobility hubs and the bike-sharing stations, the following alternative solution types emerged: </w:t>
      </w:r>
    </w:p>
    <w:p>
      <w:pPr>
        <w:pStyle w:val="Normal"/>
        <w:keepNext w:val="true"/>
        <w:spacing w:lineRule="auto" w:line="259"/>
        <w:jc w:val="center"/>
        <w:rPr/>
      </w:pPr>
      <w:r>
        <w:rPr/>
        <w:drawing>
          <wp:inline distT="0" distB="0" distL="0" distR="0">
            <wp:extent cx="4152900" cy="433387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11"/>
                    <a:stretch>
                      <a:fillRect/>
                    </a:stretch>
                  </pic:blipFill>
                  <pic:spPr bwMode="auto">
                    <a:xfrm>
                      <a:off x="0" y="0"/>
                      <a:ext cx="4152900" cy="4333875"/>
                    </a:xfrm>
                    <a:prstGeom prst="rect">
                      <a:avLst/>
                    </a:prstGeom>
                    <a:noFill/>
                  </pic:spPr>
                </pic:pic>
              </a:graphicData>
            </a:graphic>
          </wp:inline>
        </w:drawing>
      </w:r>
    </w:p>
    <w:p>
      <w:pPr>
        <w:pStyle w:val="Caption"/>
        <w:jc w:val="center"/>
        <w:rPr>
          <w:rFonts w:eastAsia="Aptos"/>
          <w:kern w:val="0"/>
          <w14:ligatures w14:val="none"/>
        </w:rPr>
      </w:pPr>
      <w:bookmarkStart w:id="79" w:name="_Toc226020112"/>
      <w:r>
        <w:rPr/>
        <w:t xml:space="preserve">Figure </w:t>
      </w:r>
      <w:r>
        <w:rPr/>
        <w:fldChar w:fldCharType="begin"/>
      </w:r>
      <w:r>
        <w:rPr/>
        <w:instrText xml:space="preserve"> SEQ Figure \* ARABIC </w:instrText>
      </w:r>
      <w:r>
        <w:rPr/>
        <w:fldChar w:fldCharType="separate"/>
      </w:r>
      <w:r>
        <w:rPr/>
        <w:t>4</w:t>
      </w:r>
      <w:r>
        <w:rPr/>
        <w:fldChar w:fldCharType="end"/>
      </w:r>
      <w:r>
        <w:rPr/>
        <w:t xml:space="preserve"> Figure of alternative solution types</w:t>
      </w:r>
      <w:bookmarkEnd w:id="79"/>
      <w:r>
        <w:rPr/>
        <w:t xml:space="preserve"> </w:t>
      </w:r>
    </w:p>
    <w:p>
      <w:pPr>
        <w:pStyle w:val="Normal"/>
        <w:spacing w:lineRule="auto" w:line="259"/>
        <w:rPr>
          <w:rFonts w:eastAsia="Aptos"/>
          <w:b/>
          <w:kern w:val="0"/>
          <w14:ligatures w14:val="none"/>
        </w:rPr>
      </w:pPr>
      <w:r>
        <w:rPr>
          <w:rFonts w:eastAsia="Aptos"/>
          <w:b/>
          <w:kern w:val="0"/>
          <w14:ligatures w14:val="none"/>
        </w:rPr>
        <w:t>Overall logic</w:t>
      </w:r>
    </w:p>
    <w:p>
      <w:pPr>
        <w:pStyle w:val="Normal"/>
        <w:spacing w:lineRule="auto" w:line="259"/>
        <w:rPr>
          <w:rFonts w:eastAsia="Aptos"/>
          <w:kern w:val="0"/>
          <w:lang w:val="en-US"/>
          <w14:ligatures w14:val="none"/>
        </w:rPr>
      </w:pPr>
      <w:r>
        <w:rPr>
          <w:rFonts w:eastAsia="Aptos"/>
          <w:kern w:val="0"/>
          <w:lang w:val="en-US"/>
          <w14:ligatures w14:val="none"/>
        </w:rPr>
        <w:t>The trip planner utilizes two separate and individual cost calculation functions:</w:t>
      </w:r>
    </w:p>
    <w:p>
      <w:pPr>
        <w:pStyle w:val="Normal"/>
        <w:numPr>
          <w:ilvl w:val="0"/>
          <w:numId w:val="16"/>
        </w:numPr>
        <w:overflowPunct w:val="true"/>
        <w:spacing w:lineRule="auto" w:line="259" w:before="80" w:after="120"/>
        <w:contextualSpacing/>
        <w:textAlignment w:val="baseline"/>
        <w:rPr>
          <w:rFonts w:eastAsia="Aptos"/>
          <w:kern w:val="0"/>
          <w:lang w:val="en-US"/>
          <w14:ligatures w14:val="none"/>
        </w:rPr>
      </w:pPr>
      <w:r>
        <w:rPr>
          <w:rFonts w:eastAsia="Aptos"/>
          <w:kern w:val="0"/>
          <w:lang w:val="en-US"/>
          <w14:ligatures w14:val="none"/>
        </w:rPr>
        <w:t xml:space="preserve">A </w:t>
      </w:r>
      <w:r>
        <w:rPr>
          <w:rFonts w:eastAsia="Aptos"/>
          <w:b/>
          <w:kern w:val="0"/>
          <w:lang w:val="en-US"/>
          <w14:ligatures w14:val="none"/>
        </w:rPr>
        <w:t>comprehensive total cost function</w:t>
      </w:r>
      <w:r>
        <w:rPr>
          <w:rFonts w:eastAsia="Aptos"/>
          <w:kern w:val="0"/>
          <w:lang w:val="en-US"/>
          <w14:ligatures w14:val="none"/>
        </w:rPr>
        <w:t xml:space="preserve"> that considers all actual and perceived financial and external costs. This calculation supports </w:t>
      </w:r>
      <w:r>
        <w:rPr>
          <w:rFonts w:eastAsia="Aptos"/>
          <w:i/>
          <w:kern w:val="0"/>
          <w:lang w:val="en-US"/>
          <w14:ligatures w14:val="none"/>
        </w:rPr>
        <w:t>two key objectives</w:t>
      </w:r>
      <w:r>
        <w:rPr>
          <w:rFonts w:eastAsia="Aptos"/>
          <w:kern w:val="0"/>
          <w:lang w:val="en-US"/>
          <w14:ligatures w14:val="none"/>
        </w:rPr>
        <w:t>:</w:t>
      </w:r>
    </w:p>
    <w:p>
      <w:pPr>
        <w:pStyle w:val="Normal"/>
        <w:numPr>
          <w:ilvl w:val="1"/>
          <w:numId w:val="16"/>
        </w:numPr>
        <w:overflowPunct w:val="true"/>
        <w:spacing w:lineRule="auto" w:line="259" w:before="80" w:after="120"/>
        <w:contextualSpacing/>
        <w:textAlignment w:val="baseline"/>
        <w:rPr>
          <w:rFonts w:eastAsia="Aptos"/>
          <w:kern w:val="0"/>
          <w14:ligatures w14:val="none"/>
        </w:rPr>
      </w:pPr>
      <w:r>
        <w:rPr>
          <w:rFonts w:eastAsia="Aptos"/>
          <w:i/>
          <w:kern w:val="0"/>
          <w14:ligatures w14:val="none"/>
        </w:rPr>
        <w:t>Clearly explain to the user in numerical terms</w:t>
      </w:r>
      <w:r>
        <w:rPr>
          <w:rFonts w:eastAsia="Aptos"/>
          <w:kern w:val="0"/>
          <w14:ligatures w14:val="none"/>
        </w:rPr>
        <w:t xml:space="preserve"> a) the actual total cost, “out of his pocket money” (for example, cost of car use per km including maintenance not only gas costs), as well as b) byproduct costs imposed to him/her (i.e. time to look for parking), and most importantly the c) social cost of his/her mode choice in monetarized value.</w:t>
      </w:r>
    </w:p>
    <w:p>
      <w:pPr>
        <w:pStyle w:val="Normal"/>
        <w:numPr>
          <w:ilvl w:val="1"/>
          <w:numId w:val="16"/>
        </w:numPr>
        <w:overflowPunct w:val="true"/>
        <w:spacing w:lineRule="auto" w:line="259" w:before="80" w:after="120"/>
        <w:contextualSpacing/>
        <w:textAlignment w:val="baseline"/>
        <w:rPr>
          <w:rFonts w:eastAsia="Aptos"/>
          <w:kern w:val="0"/>
          <w:lang w:val="en-US"/>
          <w14:ligatures w14:val="none"/>
        </w:rPr>
      </w:pPr>
      <w:r>
        <w:rPr>
          <w:rFonts w:eastAsia="Aptos"/>
          <w:kern w:val="0"/>
          <w:lang w:val="en-US"/>
          <w14:ligatures w14:val="none"/>
        </w:rPr>
        <w:t xml:space="preserve"> </w:t>
      </w:r>
      <w:r>
        <w:rPr>
          <w:rFonts w:eastAsia="Aptos"/>
          <w:i/>
          <w:kern w:val="0"/>
          <w:lang w:val="en-US"/>
          <w14:ligatures w14:val="none"/>
        </w:rPr>
        <w:t>Objectively, prioritize the alternative trip solutions</w:t>
      </w:r>
      <w:r>
        <w:rPr>
          <w:rFonts w:eastAsia="Aptos"/>
          <w:kern w:val="0"/>
          <w:lang w:val="en-US"/>
          <w14:ligatures w14:val="none"/>
        </w:rPr>
        <w:t xml:space="preserve">. The prioritization could be done in terms of total cost or external cost or user-only costs, depending on the situation.    </w:t>
      </w:r>
    </w:p>
    <w:p>
      <w:pPr>
        <w:pStyle w:val="Normal"/>
        <w:numPr>
          <w:ilvl w:val="0"/>
          <w:numId w:val="16"/>
        </w:numPr>
        <w:spacing w:lineRule="auto" w:line="259" w:before="80" w:after="120"/>
        <w:contextualSpacing/>
        <w:rPr>
          <w:rFonts w:eastAsia="Aptos"/>
          <w:kern w:val="0"/>
          <w:lang w:val="en-US"/>
          <w14:ligatures w14:val="none"/>
        </w:rPr>
      </w:pPr>
      <w:r>
        <w:rPr>
          <w:rFonts w:eastAsia="Aptos"/>
          <w:kern w:val="0"/>
          <w:lang w:val="en-US"/>
          <w14:ligatures w14:val="none"/>
        </w:rPr>
        <w:t xml:space="preserve">A </w:t>
      </w:r>
      <w:r>
        <w:rPr>
          <w:rFonts w:eastAsia="Aptos"/>
          <w:b/>
          <w:kern w:val="0"/>
          <w:lang w:val="en-US"/>
          <w14:ligatures w14:val="none"/>
        </w:rPr>
        <w:t>customizable and personalised generalized cost score</w:t>
      </w:r>
      <w:r>
        <w:rPr>
          <w:rFonts w:eastAsia="Aptos"/>
          <w:kern w:val="0"/>
          <w:lang w:val="en-US"/>
          <w14:ligatures w14:val="none"/>
        </w:rPr>
        <w:t xml:space="preserve">. A separate primary and simplified metric, which is used to </w:t>
      </w:r>
      <w:r>
        <w:rPr>
          <w:rFonts w:eastAsia="Aptos"/>
          <w:i/>
          <w:kern w:val="0"/>
          <w:lang w:val="en-US"/>
          <w14:ligatures w14:val="none"/>
        </w:rPr>
        <w:t>match diverse individual user preferences</w:t>
      </w:r>
      <w:r>
        <w:rPr>
          <w:rFonts w:eastAsia="Aptos"/>
          <w:kern w:val="0"/>
          <w:lang w:val="en-US"/>
          <w14:ligatures w14:val="none"/>
        </w:rPr>
        <w:t xml:space="preserve">. This is used independently from the total cost function to sort and rank routes based on previous user modal preferences. </w:t>
      </w:r>
    </w:p>
    <w:p>
      <w:pPr>
        <w:pStyle w:val="Normal"/>
        <w:spacing w:lineRule="auto" w:line="259"/>
        <w:rPr>
          <w:rFonts w:eastAsia="Aptos"/>
          <w:kern w:val="0"/>
          <w:lang w:val="en-US"/>
          <w14:ligatures w14:val="none"/>
        </w:rPr>
      </w:pPr>
      <w:r>
        <w:rPr>
          <w:rFonts w:eastAsia="Aptos"/>
          <w:kern w:val="0"/>
          <w:lang w:val="en-US"/>
          <w14:ligatures w14:val="none"/>
        </w:rPr>
        <w:t xml:space="preserve">Both are used by the AI, nudging, module to suit actual user preferences (deriving from the </w:t>
      </w:r>
      <w:r>
        <w:rPr>
          <w:rFonts w:eastAsia="Aptos"/>
          <w:b/>
          <w:kern w:val="0"/>
          <w:lang w:val="en-US"/>
          <w14:ligatures w14:val="none"/>
        </w:rPr>
        <w:t>customizable and personalised generalized cost score)</w:t>
      </w:r>
      <w:r>
        <w:rPr>
          <w:rFonts w:eastAsia="Aptos"/>
          <w:kern w:val="0"/>
          <w:lang w:val="en-US"/>
          <w14:ligatures w14:val="none"/>
        </w:rPr>
        <w:t xml:space="preserve">, while pushing for socially acceptable routes (deriving from the </w:t>
      </w:r>
      <w:r>
        <w:rPr>
          <w:rFonts w:eastAsia="Aptos"/>
          <w:b/>
          <w:kern w:val="0"/>
          <w:lang w:val="en-US"/>
          <w14:ligatures w14:val="none"/>
        </w:rPr>
        <w:t>comprehensive total cost function)</w:t>
      </w:r>
      <w:r>
        <w:rPr>
          <w:rFonts w:eastAsia="Aptos"/>
          <w:kern w:val="0"/>
          <w:lang w:val="en-US"/>
          <w14:ligatures w14:val="none"/>
        </w:rPr>
        <w:t xml:space="preserve">. </w:t>
      </w:r>
    </w:p>
    <w:p>
      <w:pPr>
        <w:pStyle w:val="Normal"/>
        <w:spacing w:lineRule="auto" w:line="259"/>
        <w:rPr>
          <w:rFonts w:eastAsia="Aptos"/>
          <w:b/>
          <w:kern w:val="0"/>
          <w14:ligatures w14:val="none"/>
        </w:rPr>
      </w:pPr>
      <w:r>
        <w:rPr>
          <w:rFonts w:eastAsia="Aptos"/>
          <w:b/>
          <w:kern w:val="0"/>
          <w14:ligatures w14:val="none"/>
        </w:rPr>
        <w:t>Core architecture overview</w:t>
      </w:r>
    </w:p>
    <w:p>
      <w:pPr>
        <w:pStyle w:val="Normal"/>
        <w:spacing w:lineRule="auto" w:line="259"/>
        <w:rPr>
          <w:rFonts w:eastAsia="Aptos"/>
          <w:kern w:val="0"/>
          <w14:ligatures w14:val="none"/>
        </w:rPr>
      </w:pPr>
      <w:r>
        <w:rPr>
          <w:rFonts w:eastAsia="Aptos"/>
          <w:kern w:val="0"/>
          <w14:ligatures w14:val="none"/>
        </w:rPr>
        <w:t>The solution consists of two main components:</w:t>
      </w:r>
    </w:p>
    <w:p>
      <w:pPr>
        <w:pStyle w:val="Normal"/>
        <w:numPr>
          <w:ilvl w:val="0"/>
          <w:numId w:val="6"/>
        </w:numPr>
        <w:spacing w:lineRule="auto" w:line="259"/>
        <w:rPr>
          <w:rFonts w:eastAsia="Aptos"/>
          <w:kern w:val="0"/>
          <w:lang w:val="en-US"/>
          <w14:ligatures w14:val="none"/>
        </w:rPr>
      </w:pPr>
      <w:r>
        <w:rPr>
          <w:rFonts w:eastAsia="Aptos"/>
          <w:kern w:val="0"/>
          <w:lang w:val="en-US"/>
          <w14:ligatures w14:val="none"/>
        </w:rPr>
        <w:t>External Route API: Public HTTPS endpoint with Basic Auth, handling client requests, validation, and result aggregation (aggregation service).</w:t>
      </w:r>
    </w:p>
    <w:p>
      <w:pPr>
        <w:pStyle w:val="Normal"/>
        <w:numPr>
          <w:ilvl w:val="0"/>
          <w:numId w:val="6"/>
        </w:numPr>
        <w:spacing w:lineRule="auto" w:line="259"/>
        <w:rPr>
          <w:rFonts w:eastAsia="Aptos"/>
          <w:kern w:val="0"/>
          <w14:ligatures w14:val="none"/>
        </w:rPr>
      </w:pPr>
      <w:commentRangeStart w:id="0"/>
      <w:r>
        <w:rPr>
          <w:rFonts w:eastAsia="Aptos"/>
          <w:kern w:val="0"/>
          <w14:ligatures w14:val="none"/>
        </w:rPr>
        <w:t>Internal OTP Router: One deployed instance exposing the /plan routing API, configured with OSM and GTFS feeds.</w:t>
      </w:r>
      <w:commentRangeEnd w:id="0"/>
      <w:r>
        <w:commentReference w:id="0"/>
      </w:r>
      <w:r>
        <w:rPr>
          <w:rFonts w:eastAsia="Aptos"/>
          <w:kern w:val="0"/>
          <w14:ligatures w14:val="none"/>
        </w:rPr>
      </w:r>
    </w:p>
    <w:p>
      <w:pPr>
        <w:pStyle w:val="Normal"/>
        <w:spacing w:lineRule="auto" w:line="259"/>
        <w:rPr>
          <w:rFonts w:eastAsia="Aptos"/>
          <w:kern w:val="0"/>
          <w:lang w:val="en-US"/>
          <w14:ligatures w14:val="none"/>
        </w:rPr>
      </w:pPr>
      <w:r>
        <w:rPr>
          <w:rFonts w:eastAsia="Aptos"/>
          <w:kern w:val="0"/>
          <w:lang w:val="en-US"/>
          <w14:ligatures w14:val="none"/>
        </w:rPr>
        <w:t>The Route API component performs authentication and any multi</w:t>
        <w:noBreakHyphen/>
        <w:t xml:space="preserve">call orchestration, evaluates the estimated cost of the produced itineraries and then forwards sanitized routing responses back to clients. </w:t>
      </w:r>
    </w:p>
    <w:p>
      <w:pPr>
        <w:pStyle w:val="Normal"/>
        <w:spacing w:lineRule="auto" w:line="259"/>
        <w:rPr>
          <w:rFonts w:eastAsia="Aptos"/>
          <w:b/>
          <w:kern w:val="0"/>
          <w14:ligatures w14:val="none"/>
        </w:rPr>
      </w:pPr>
      <w:r>
        <w:rPr>
          <w:rFonts w:eastAsia="Aptos"/>
          <w:b/>
          <w:kern w:val="0"/>
          <w14:ligatures w14:val="none"/>
        </w:rPr>
        <w:t>Internal OTP calls and leg decomposition</w:t>
      </w:r>
    </w:p>
    <w:p>
      <w:pPr>
        <w:pStyle w:val="Normal"/>
        <w:spacing w:lineRule="auto" w:line="259"/>
        <w:rPr>
          <w:rFonts w:eastAsia="Aptos"/>
          <w:kern w:val="0"/>
          <w:lang w:val="en-US"/>
          <w14:ligatures w14:val="none"/>
        </w:rPr>
      </w:pPr>
      <w:r>
        <w:rPr>
          <w:rFonts w:eastAsia="Aptos"/>
          <w:kern w:val="0"/>
          <w:lang w:val="en-US"/>
          <w14:ligatures w14:val="none"/>
        </w:rPr>
        <w:t>The OTP Router endpoint accepts a single mode parameter and computes individual itineraries between origin and destination in one call. To support richer semantics (e.g., switching between own car and transit or chaining shared micromobility and walking), the aggregation service decomposes the user’s initial request into a sequence of legs:</w:t>
      </w:r>
    </w:p>
    <w:p>
      <w:pPr>
        <w:pStyle w:val="Normal"/>
        <w:numPr>
          <w:ilvl w:val="0"/>
          <w:numId w:val="12"/>
        </w:numPr>
        <w:spacing w:lineRule="auto" w:line="240"/>
        <w:rPr>
          <w:rFonts w:eastAsia="Aptos"/>
          <w:kern w:val="0"/>
          <w14:ligatures w14:val="none"/>
        </w:rPr>
      </w:pPr>
      <w:r>
        <w:rPr>
          <w:rFonts w:eastAsia="Aptos"/>
          <w:kern w:val="0"/>
          <w14:ligatures w14:val="none"/>
        </w:rPr>
        <w:t>Each leg has: from, to, any specific constraint to be applied, and a specific OTP mode setting.</w:t>
      </w:r>
    </w:p>
    <w:p>
      <w:pPr>
        <w:pStyle w:val="Normal"/>
        <w:numPr>
          <w:ilvl w:val="0"/>
          <w:numId w:val="12"/>
        </w:numPr>
        <w:spacing w:lineRule="auto" w:line="240"/>
        <w:rPr>
          <w:rFonts w:eastAsia="Aptos"/>
          <w:kern w:val="0"/>
          <w14:ligatures w14:val="none"/>
        </w:rPr>
      </w:pPr>
      <w:r>
        <w:rPr>
          <w:rFonts w:eastAsia="Aptos"/>
          <w:kern w:val="0"/>
          <w14:ligatures w14:val="none"/>
        </w:rPr>
        <w:t>Leg boundaries typically occur at:</w:t>
      </w:r>
    </w:p>
    <w:p>
      <w:pPr>
        <w:pStyle w:val="Normal"/>
        <w:numPr>
          <w:ilvl w:val="1"/>
          <w:numId w:val="12"/>
        </w:numPr>
        <w:spacing w:lineRule="auto" w:line="240"/>
        <w:rPr>
          <w:rFonts w:eastAsia="Aptos"/>
          <w:kern w:val="0"/>
          <w14:ligatures w14:val="none"/>
        </w:rPr>
      </w:pPr>
      <w:r>
        <w:rPr>
          <w:rFonts w:eastAsia="Aptos"/>
          <w:kern w:val="0"/>
          <w14:ligatures w14:val="none"/>
        </w:rPr>
        <w:t>Public transport access/egress points (stations/stops).</w:t>
      </w:r>
    </w:p>
    <w:p>
      <w:pPr>
        <w:pStyle w:val="Normal"/>
        <w:numPr>
          <w:ilvl w:val="1"/>
          <w:numId w:val="12"/>
        </w:numPr>
        <w:spacing w:lineRule="auto" w:line="240"/>
        <w:rPr>
          <w:rFonts w:eastAsia="Aptos"/>
          <w:kern w:val="0"/>
          <w:lang w:val="en-US"/>
          <w14:ligatures w14:val="none"/>
        </w:rPr>
      </w:pPr>
      <w:r>
        <w:rPr>
          <w:rFonts w:eastAsia="Aptos"/>
          <w:kern w:val="0"/>
          <w:lang w:val="en-US"/>
          <w14:ligatures w14:val="none"/>
        </w:rPr>
        <w:t>Shared vehicle pickup/dropoff zones.</w:t>
      </w:r>
    </w:p>
    <w:p>
      <w:pPr>
        <w:pStyle w:val="Normal"/>
        <w:spacing w:lineRule="auto" w:line="240"/>
        <w:rPr>
          <w:rFonts w:eastAsia="Aptos"/>
          <w:kern w:val="0"/>
          <w:lang w:val="en-US"/>
          <w14:ligatures w14:val="none"/>
        </w:rPr>
      </w:pPr>
      <w:r>
        <w:rPr>
          <w:rFonts w:eastAsia="Aptos"/>
          <w:kern w:val="0"/>
          <w:lang w:val="en-US"/>
          <w14:ligatures w14:val="none"/>
        </w:rPr>
        <w:t>Example user request: from=A, to=D by using transport modes= ["s", "pt", "w"]. The aggregation service can then compute:</w:t>
      </w:r>
    </w:p>
    <w:p>
      <w:pPr>
        <w:pStyle w:val="Normal"/>
        <w:numPr>
          <w:ilvl w:val="0"/>
          <w:numId w:val="13"/>
        </w:numPr>
        <w:spacing w:lineRule="auto" w:line="240"/>
        <w:rPr>
          <w:rFonts w:eastAsia="Aptos"/>
          <w:kern w:val="0"/>
          <w14:ligatures w14:val="none"/>
        </w:rPr>
      </w:pPr>
      <w:r>
        <w:rPr>
          <w:rFonts w:eastAsia="Aptos"/>
          <w:kern w:val="0"/>
          <w14:ligatures w14:val="none"/>
        </w:rPr>
        <w:t>Leg 1 (walk): A → pick up station S, modes=WALK​</w:t>
      </w:r>
    </w:p>
    <w:p>
      <w:pPr>
        <w:pStyle w:val="Normal"/>
        <w:numPr>
          <w:ilvl w:val="0"/>
          <w:numId w:val="13"/>
        </w:numPr>
        <w:spacing w:lineRule="auto" w:line="240"/>
        <w:rPr>
          <w:rFonts w:eastAsia="Aptos"/>
          <w:kern w:val="0"/>
          <w14:ligatures w14:val="none"/>
        </w:rPr>
      </w:pPr>
      <w:r>
        <w:rPr>
          <w:rFonts w:eastAsia="Aptos"/>
          <w:kern w:val="0"/>
          <w14:ligatures w14:val="none"/>
        </w:rPr>
        <w:t>Leg 2 (shared scouter): S → drop off station T, modes=SCOOTER</w:t>
      </w:r>
    </w:p>
    <w:p>
      <w:pPr>
        <w:pStyle w:val="Normal"/>
        <w:numPr>
          <w:ilvl w:val="0"/>
          <w:numId w:val="13"/>
        </w:numPr>
        <w:spacing w:lineRule="auto" w:line="240"/>
        <w:rPr>
          <w:rFonts w:eastAsia="Aptos"/>
          <w:kern w:val="0"/>
          <w14:ligatures w14:val="none"/>
        </w:rPr>
      </w:pPr>
      <w:r>
        <w:rPr>
          <w:rFonts w:eastAsia="Aptos"/>
          <w:kern w:val="0"/>
          <w14:ligatures w14:val="none"/>
        </w:rPr>
        <w:t>Leg 3 (walk): T → stop Y, modes=WALK, TRANSIT.​</w:t>
      </w:r>
    </w:p>
    <w:p>
      <w:pPr>
        <w:pStyle w:val="Normal"/>
        <w:numPr>
          <w:ilvl w:val="0"/>
          <w:numId w:val="13"/>
        </w:numPr>
        <w:spacing w:lineRule="auto" w:line="240"/>
        <w:rPr>
          <w:rFonts w:eastAsia="Aptos"/>
          <w:kern w:val="0"/>
          <w14:ligatures w14:val="none"/>
        </w:rPr>
      </w:pPr>
      <w:r>
        <w:rPr>
          <w:rFonts w:eastAsia="Aptos"/>
          <w:kern w:val="0"/>
          <w14:ligatures w14:val="none"/>
        </w:rPr>
        <w:t>Leg 4 (pedestrian): Y → D, modes=WALK.​</w:t>
      </w:r>
    </w:p>
    <w:p>
      <w:pPr>
        <w:pStyle w:val="Normal"/>
        <w:spacing w:lineRule="auto" w:line="259"/>
        <w:rPr>
          <w:rFonts w:eastAsia="Aptos"/>
          <w:kern w:val="0"/>
          <w:lang w:val="en-US"/>
          <w14:ligatures w14:val="none"/>
        </w:rPr>
      </w:pPr>
      <w:r>
        <w:rPr>
          <w:rFonts w:eastAsia="Aptos"/>
          <w:kern w:val="0"/>
          <w:lang w:val="en-US"/>
          <w14:ligatures w14:val="none"/>
        </w:rPr>
        <w:t>Each of the above legs is an independent HTTP call to OTP’s /plan. Similar calls are made for transit and walking legs, adjusting arrival/departure preferences and search windows.</w:t>
      </w:r>
    </w:p>
    <w:p>
      <w:pPr>
        <w:pStyle w:val="Normal"/>
        <w:spacing w:lineRule="auto" w:line="259"/>
        <w:rPr>
          <w:rFonts w:eastAsia="Aptos"/>
          <w:b/>
          <w:kern w:val="0"/>
          <w14:ligatures w14:val="none"/>
        </w:rPr>
      </w:pPr>
      <w:r>
        <w:rPr>
          <w:rFonts w:eastAsia="Aptos"/>
          <w:b/>
          <w:kern w:val="0"/>
          <w14:ligatures w14:val="none"/>
        </w:rPr>
        <w:t>Itinerary aggregation and timing</w:t>
      </w:r>
    </w:p>
    <w:p>
      <w:pPr>
        <w:pStyle w:val="Normal"/>
        <w:spacing w:lineRule="auto" w:line="259"/>
        <w:rPr>
          <w:rFonts w:eastAsia="Aptos"/>
          <w:kern w:val="0"/>
          <w:lang w:val="en-US"/>
          <w14:ligatures w14:val="none"/>
        </w:rPr>
      </w:pPr>
      <w:r>
        <w:rPr>
          <w:rFonts w:eastAsia="Aptos"/>
          <w:kern w:val="0"/>
          <w:lang w:val="en-US"/>
          <w14:ligatures w14:val="none"/>
        </w:rPr>
        <w:t>Once per</w:t>
        <w:noBreakHyphen/>
        <w:t>leg itineraries are retrieved, the service merges them into a single and consistent multimodal route. The departure time for each leg after the first is the arrival time of the previous leg plus a configurable transfer buffer. The service also ensures that the destination of leg N is within a defined tolerance of the origin of leg N+1 and adjusts via an extra micro</w:t>
        <w:noBreakHyphen/>
        <w:t>walking leg if necessary. Lastly, it converts OTP’s internal leg structures into a unified schema regardless of the underlying OTP mode identifiers.</w:t>
      </w:r>
    </w:p>
    <w:p>
      <w:pPr>
        <w:pStyle w:val="Normal"/>
        <w:spacing w:lineRule="auto" w:line="259"/>
        <w:rPr>
          <w:rFonts w:eastAsia="Aptos"/>
          <w:kern w:val="0"/>
          <w:lang w:val="en-US"/>
          <w14:ligatures w14:val="none"/>
        </w:rPr>
      </w:pPr>
      <w:r>
        <w:rPr>
          <w:rFonts w:eastAsia="Aptos"/>
          <w:kern w:val="0"/>
          <w:lang w:val="en-US"/>
          <w14:ligatures w14:val="none"/>
        </w:rPr>
        <w:t>If multiple combinations of intermediate points (e.g. several shared vehicle stations) are considered, the service plans each candidate path (subject to a cap) and then selects the best global itinerary according to configured optimization criteria.</w:t>
      </w:r>
    </w:p>
    <w:p>
      <w:pPr>
        <w:pStyle w:val="Normal"/>
        <w:spacing w:lineRule="auto" w:line="259"/>
        <w:rPr>
          <w:rFonts w:eastAsia="Aptos"/>
          <w:b/>
          <w:kern w:val="0"/>
          <w14:ligatures w14:val="none"/>
        </w:rPr>
      </w:pPr>
      <w:r>
        <w:rPr>
          <w:rFonts w:eastAsia="Aptos"/>
          <w:b/>
          <w:kern w:val="0"/>
          <w14:ligatures w14:val="none"/>
        </w:rPr>
        <w:t>Handling micromobility and own vehicles</w:t>
      </w:r>
    </w:p>
    <w:p>
      <w:pPr>
        <w:pStyle w:val="Normal"/>
        <w:tabs>
          <w:tab w:val="clear" w:pos="720"/>
          <w:tab w:val="left" w:pos="1440" w:leader="none"/>
        </w:tabs>
        <w:spacing w:lineRule="auto" w:line="259"/>
        <w:rPr>
          <w:rFonts w:eastAsia="Aptos"/>
          <w:kern w:val="0"/>
          <w:lang w:val="en-US"/>
          <w14:ligatures w14:val="none"/>
        </w:rPr>
      </w:pPr>
      <w:r>
        <w:rPr>
          <w:rFonts w:eastAsia="Aptos"/>
          <w:kern w:val="0"/>
          <w:lang w:val="en-US"/>
          <w14:ligatures w14:val="none"/>
        </w:rPr>
        <w:t>For shared eBikes and scooters, the aggregation service selects candidate bike rental stations near origin and destination points defined in the user’s request, plans a walking leg from origin to pickup station, a shared ebike/scooter leg between stations and a walking leg to the final destination.</w:t>
      </w:r>
    </w:p>
    <w:p>
      <w:pPr>
        <w:pStyle w:val="Normal"/>
        <w:spacing w:lineRule="auto" w:line="259"/>
        <w:rPr>
          <w:rFonts w:eastAsia="Aptos"/>
          <w:kern w:val="0"/>
          <w:lang w:val="en-US"/>
          <w14:ligatures w14:val="none"/>
        </w:rPr>
      </w:pPr>
      <w:commentRangeStart w:id="1"/>
      <w:r>
        <w:rPr>
          <w:rFonts w:eastAsia="Aptos"/>
          <w:kern w:val="0"/>
          <w:lang w:val="en-US"/>
          <w14:ligatures w14:val="none"/>
        </w:rPr>
        <w:t>Own car (oc) and own bike (ob) segments are simpler: they are planned as singlemode</w:t>
        <w:noBreakHyphen/>
        <w:t xml:space="preserve"> legs where the entire distance is driven or cycled.</w:t>
      </w:r>
      <w:commentRangeEnd w:id="1"/>
      <w:r>
        <w:commentReference w:id="1"/>
      </w:r>
      <w:r>
        <w:rPr>
          <w:rFonts w:eastAsia="Aptos"/>
          <w:kern w:val="0"/>
          <w:lang w:val="en-US"/>
          <w14:ligatures w14:val="none"/>
        </w:rPr>
      </w:r>
    </w:p>
    <w:p>
      <w:pPr>
        <w:pStyle w:val="Normal"/>
        <w:spacing w:lineRule="auto" w:line="259"/>
        <w:rPr>
          <w:rFonts w:eastAsia="Aptos"/>
          <w:kern w:val="0"/>
          <w14:ligatures w14:val="none"/>
        </w:rPr>
      </w:pPr>
      <w:r>
        <w:rPr>
          <w:rFonts w:eastAsia="Aptos"/>
          <w:b/>
          <w:kern w:val="0"/>
          <w14:ligatures w14:val="none"/>
        </w:rPr>
        <w:t>Itinerary cost estimation calculations</w:t>
      </w:r>
    </w:p>
    <w:p>
      <w:pPr>
        <w:pStyle w:val="Normal"/>
        <w:spacing w:lineRule="auto" w:line="259"/>
        <w:rPr>
          <w:rFonts w:eastAsia="Aptos"/>
          <w:kern w:val="0"/>
          <w14:ligatures w14:val="none"/>
        </w:rPr>
      </w:pPr>
      <w:r>
        <w:rPr>
          <w:rFonts w:eastAsia="Aptos"/>
          <w:kern w:val="0"/>
          <w14:ligatures w14:val="none"/>
        </w:rPr>
        <w:t>The service evaluates the estimated cost of each produced itinerary, based on the following criteria:</w:t>
      </w:r>
    </w:p>
    <w:tbl>
      <w:tblPr>
        <w:tblStyle w:val="TableGrid1"/>
        <w:tblW w:w="920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073"/>
        <w:gridCol w:w="4169"/>
        <w:gridCol w:w="2967"/>
      </w:tblGrid>
      <w:tr>
        <w:trPr>
          <w:trHeight w:val="471" w:hRule="atLeast"/>
        </w:trPr>
        <w:tc>
          <w:tcPr>
            <w:tcW w:w="2073" w:type="dxa"/>
            <w:vMerge w:val="restart"/>
            <w:tcBorders/>
          </w:tcPr>
          <w:p>
            <w:pPr>
              <w:pStyle w:val="Normal"/>
              <w:widowControl/>
              <w:spacing w:lineRule="auto" w:line="240" w:before="80" w:after="0"/>
              <w:jc w:val="center"/>
              <w:rPr>
                <w:rFonts w:eastAsia="Times New Roman"/>
                <w:b/>
                <w:color w:val="000000"/>
                <w:lang w:val="el-GR" w:eastAsia="el-GR"/>
              </w:rPr>
            </w:pPr>
            <w:r>
              <w:rPr>
                <w:rFonts w:eastAsia="Times New Roman"/>
                <w:b/>
                <w:color w:val="000000"/>
                <w:kern w:val="0"/>
                <w:lang w:val="el-GR" w:eastAsia="el-GR" w:bidi="ar-SA"/>
              </w:rPr>
              <w:t>Mode</w:t>
            </w:r>
          </w:p>
        </w:tc>
        <w:tc>
          <w:tcPr>
            <w:tcW w:w="7136" w:type="dxa"/>
            <w:gridSpan w:val="2"/>
            <w:vMerge w:val="restart"/>
            <w:tcBorders/>
          </w:tcPr>
          <w:p>
            <w:pPr>
              <w:pStyle w:val="Normal"/>
              <w:widowControl/>
              <w:spacing w:lineRule="auto" w:line="240" w:before="80" w:after="0"/>
              <w:jc w:val="center"/>
              <w:rPr>
                <w:rFonts w:eastAsia="Times New Roman"/>
                <w:b/>
                <w:color w:val="000000"/>
                <w:lang w:eastAsia="el-GR"/>
              </w:rPr>
            </w:pPr>
            <w:r>
              <w:rPr>
                <w:rFonts w:eastAsia="Times New Roman"/>
                <w:b/>
                <w:color w:val="000000"/>
                <w:kern w:val="0"/>
                <w:lang w:eastAsia="el-GR" w:bidi="ar-SA"/>
              </w:rPr>
              <w:t>Total (Direct/indirect) financial cost</w:t>
            </w:r>
          </w:p>
        </w:tc>
      </w:tr>
      <w:tr>
        <w:trPr>
          <w:trHeight w:val="471" w:hRule="atLeast"/>
        </w:trPr>
        <w:tc>
          <w:tcPr>
            <w:tcW w:w="2073" w:type="dxa"/>
            <w:vMerge w:val="continue"/>
            <w:tcBorders/>
          </w:tcPr>
          <w:p>
            <w:pPr>
              <w:pStyle w:val="Normal"/>
              <w:widowControl/>
              <w:spacing w:lineRule="auto" w:line="240" w:before="80" w:after="0"/>
              <w:rPr>
                <w:rFonts w:eastAsia="Times New Roman"/>
                <w:b/>
                <w:color w:val="000000"/>
                <w:lang w:eastAsia="el-GR"/>
              </w:rPr>
            </w:pPr>
            <w:r>
              <w:rPr>
                <w:rFonts w:eastAsia="Times New Roman"/>
                <w:b/>
                <w:color w:val="000000"/>
                <w:kern w:val="0"/>
                <w:lang w:eastAsia="el-GR" w:bidi="ar-SA"/>
              </w:rPr>
            </w:r>
          </w:p>
        </w:tc>
        <w:tc>
          <w:tcPr>
            <w:tcW w:w="7136" w:type="dxa"/>
            <w:gridSpan w:val="2"/>
            <w:vMerge w:val="continue"/>
            <w:tcBorders/>
          </w:tcPr>
          <w:p>
            <w:pPr>
              <w:pStyle w:val="Normal"/>
              <w:widowControl/>
              <w:spacing w:lineRule="auto" w:line="240" w:before="80" w:after="0"/>
              <w:rPr>
                <w:rFonts w:eastAsia="Times New Roman"/>
                <w:b/>
                <w:color w:val="000000"/>
                <w:lang w:eastAsia="el-GR"/>
              </w:rPr>
            </w:pPr>
            <w:r>
              <w:rPr>
                <w:rFonts w:eastAsia="Times New Roman"/>
                <w:b/>
                <w:color w:val="000000"/>
                <w:kern w:val="0"/>
                <w:lang w:eastAsia="el-GR" w:bidi="ar-SA"/>
              </w:rPr>
            </w:r>
          </w:p>
        </w:tc>
      </w:tr>
      <w:tr>
        <w:trPr>
          <w:trHeight w:val="331" w:hRule="atLeast"/>
        </w:trPr>
        <w:tc>
          <w:tcPr>
            <w:tcW w:w="2073"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Car</w:t>
            </w:r>
          </w:p>
        </w:tc>
        <w:tc>
          <w:tcPr>
            <w:tcW w:w="4169"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0,18 </w:t>
            </w:r>
          </w:p>
        </w:tc>
        <w:tc>
          <w:tcPr>
            <w:tcW w:w="2967"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 xml:space="preserve">per km </w:t>
            </w:r>
            <w:r>
              <w:rPr>
                <w:rFonts w:eastAsia="Times New Roman"/>
                <w:color w:val="000000"/>
                <w:kern w:val="0"/>
                <w:vertAlign w:val="superscript"/>
                <w:lang w:val="el-GR" w:eastAsia="el-GR" w:bidi="ar-SA"/>
              </w:rPr>
              <w:t>(1)</w:t>
            </w:r>
          </w:p>
        </w:tc>
      </w:tr>
      <w:tr>
        <w:trPr>
          <w:trHeight w:val="305" w:hRule="atLeast"/>
        </w:trPr>
        <w:tc>
          <w:tcPr>
            <w:tcW w:w="2073"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Bus</w:t>
            </w:r>
          </w:p>
        </w:tc>
        <w:tc>
          <w:tcPr>
            <w:tcW w:w="4169"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0,60 </w:t>
            </w:r>
          </w:p>
        </w:tc>
        <w:tc>
          <w:tcPr>
            <w:tcW w:w="2967"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ticket based entire trip</w:t>
            </w:r>
          </w:p>
        </w:tc>
      </w:tr>
      <w:tr>
        <w:trPr>
          <w:trHeight w:val="258" w:hRule="atLeast"/>
        </w:trPr>
        <w:tc>
          <w:tcPr>
            <w:tcW w:w="2073"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Metro</w:t>
            </w:r>
          </w:p>
        </w:tc>
        <w:tc>
          <w:tcPr>
            <w:tcW w:w="4169"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0,60 </w:t>
            </w:r>
          </w:p>
        </w:tc>
        <w:tc>
          <w:tcPr>
            <w:tcW w:w="2967"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ticket based entire trip</w:t>
            </w:r>
          </w:p>
        </w:tc>
      </w:tr>
      <w:tr>
        <w:trPr>
          <w:trHeight w:val="379" w:hRule="atLeast"/>
        </w:trPr>
        <w:tc>
          <w:tcPr>
            <w:tcW w:w="2073" w:type="dxa"/>
            <w:vMerge w:val="restart"/>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shared micromobility (e-scooter, e-bike) </w:t>
            </w:r>
          </w:p>
        </w:tc>
        <w:tc>
          <w:tcPr>
            <w:tcW w:w="4169"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0,45 </w:t>
            </w:r>
          </w:p>
        </w:tc>
        <w:tc>
          <w:tcPr>
            <w:tcW w:w="2967"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 xml:space="preserve">Average per trip (unlock) </w:t>
            </w:r>
            <w:r>
              <w:rPr>
                <w:rFonts w:eastAsia="Times New Roman"/>
                <w:color w:val="000000"/>
                <w:kern w:val="0"/>
                <w:vertAlign w:val="superscript"/>
                <w:lang w:val="el-GR" w:eastAsia="el-GR" w:bidi="ar-SA"/>
              </w:rPr>
              <w:t>(2)</w:t>
            </w:r>
          </w:p>
        </w:tc>
      </w:tr>
      <w:tr>
        <w:trPr>
          <w:trHeight w:val="252" w:hRule="atLeast"/>
        </w:trPr>
        <w:tc>
          <w:tcPr>
            <w:tcW w:w="2073" w:type="dxa"/>
            <w:vMerge w:val="continue"/>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r>
          </w:p>
        </w:tc>
        <w:tc>
          <w:tcPr>
            <w:tcW w:w="4169"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0,20 </w:t>
            </w:r>
          </w:p>
        </w:tc>
        <w:tc>
          <w:tcPr>
            <w:tcW w:w="2967"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 xml:space="preserve">Average  per minute </w:t>
            </w:r>
            <w:r>
              <w:rPr>
                <w:rFonts w:eastAsia="Times New Roman"/>
                <w:color w:val="000000"/>
                <w:kern w:val="0"/>
                <w:vertAlign w:val="superscript"/>
                <w:lang w:val="el-GR" w:eastAsia="el-GR" w:bidi="ar-SA"/>
              </w:rPr>
              <w:t>(2)</w:t>
            </w:r>
          </w:p>
        </w:tc>
      </w:tr>
      <w:tr>
        <w:trPr>
          <w:trHeight w:val="286" w:hRule="atLeast"/>
        </w:trPr>
        <w:tc>
          <w:tcPr>
            <w:tcW w:w="2073"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own bike</w:t>
            </w:r>
          </w:p>
        </w:tc>
        <w:tc>
          <w:tcPr>
            <w:tcW w:w="4169"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2967"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w:t>
            </w:r>
          </w:p>
        </w:tc>
      </w:tr>
      <w:tr>
        <w:trPr>
          <w:trHeight w:val="62" w:hRule="atLeast"/>
        </w:trPr>
        <w:tc>
          <w:tcPr>
            <w:tcW w:w="2073"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Pedestrian</w:t>
            </w:r>
          </w:p>
        </w:tc>
        <w:tc>
          <w:tcPr>
            <w:tcW w:w="4169"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2967"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w:t>
            </w:r>
          </w:p>
        </w:tc>
      </w:tr>
    </w:tbl>
    <w:p>
      <w:pPr>
        <w:pStyle w:val="Normal"/>
        <w:spacing w:lineRule="auto" w:line="259"/>
        <w:rPr>
          <w:rFonts w:eastAsia="Aptos"/>
          <w:sz w:val="16"/>
          <w:szCs w:val="16"/>
        </w:rPr>
      </w:pPr>
      <w:r>
        <w:rPr>
          <w:rFonts w:eastAsia="Aptos"/>
          <w:sz w:val="16"/>
          <w:szCs w:val="16"/>
        </w:rPr>
      </w:r>
    </w:p>
    <w:p>
      <w:pPr>
        <w:pStyle w:val="Normal"/>
        <w:spacing w:lineRule="auto" w:line="259"/>
        <w:rPr>
          <w:rFonts w:eastAsia="Aptos"/>
          <w:kern w:val="0"/>
          <w:sz w:val="16"/>
          <w:szCs w:val="16"/>
          <w14:ligatures w14:val="none"/>
        </w:rPr>
      </w:pPr>
      <w:r>
        <w:rPr>
          <w:rFonts w:eastAsia="Aptos"/>
          <w:kern w:val="0"/>
          <w:sz w:val="16"/>
          <w:szCs w:val="16"/>
          <w14:ligatures w14:val="none"/>
        </w:rPr>
        <w:t>(1)</w:t>
      </w:r>
    </w:p>
    <w:p>
      <w:pPr>
        <w:pStyle w:val="Normal"/>
        <w:numPr>
          <w:ilvl w:val="0"/>
          <w:numId w:val="7"/>
        </w:numPr>
        <w:spacing w:lineRule="auto" w:line="240" w:before="80" w:after="120"/>
        <w:contextualSpacing/>
        <w:rPr>
          <w:rFonts w:eastAsia="Aptos"/>
          <w:kern w:val="0"/>
          <w:sz w:val="16"/>
          <w:szCs w:val="16"/>
          <w14:ligatures w14:val="none"/>
        </w:rPr>
      </w:pPr>
      <w:r>
        <w:rPr>
          <w:rFonts w:eastAsia="Aptos"/>
          <w:kern w:val="0"/>
          <w:sz w:val="16"/>
          <w:szCs w:val="16"/>
          <w14:ligatures w14:val="none"/>
        </w:rPr>
        <w:t xml:space="preserve">Ayvens Car Cost Index 2025 </w:t>
      </w:r>
    </w:p>
    <w:p>
      <w:pPr>
        <w:pStyle w:val="Normal"/>
        <w:spacing w:lineRule="auto" w:line="240" w:before="80" w:after="120"/>
        <w:ind w:start="720"/>
        <w:contextualSpacing/>
        <w:rPr>
          <w:rFonts w:eastAsia="Aptos"/>
          <w:kern w:val="0"/>
          <w:sz w:val="16"/>
          <w:szCs w:val="16"/>
          <w14:ligatures w14:val="none"/>
        </w:rPr>
      </w:pPr>
      <w:r>
        <w:rPr>
          <w:rFonts w:eastAsia="Aptos"/>
          <w:kern w:val="0"/>
          <w:sz w:val="16"/>
          <w:szCs w:val="16"/>
          <w14:ligatures w14:val="none"/>
        </w:rPr>
        <w:t>(</w:t>
      </w:r>
      <w:hyperlink r:id="rId12">
        <w:r>
          <w:rPr>
            <w:rStyle w:val="Style"/>
            <w:rFonts w:eastAsia="Aptos"/>
            <w:color w:val="467886"/>
            <w:kern w:val="0"/>
            <w:sz w:val="16"/>
            <w:szCs w:val="16"/>
            <w:u w:val="single"/>
            <w14:ligatures w14:val="none"/>
          </w:rPr>
          <w:t>https://www.ayvens.com/-/media/ayvens/public/shared/documents/ayvens-car-cost-index-2025---march-2025.pdf</w:t>
        </w:r>
      </w:hyperlink>
      <w:r>
        <w:rPr>
          <w:rFonts w:eastAsia="Aptos"/>
          <w:kern w:val="0"/>
          <w:sz w:val="16"/>
          <w:szCs w:val="16"/>
          <w14:ligatures w14:val="none"/>
        </w:rPr>
        <w:t>)</w:t>
      </w:r>
    </w:p>
    <w:p>
      <w:pPr>
        <w:pStyle w:val="Normal"/>
        <w:numPr>
          <w:ilvl w:val="0"/>
          <w:numId w:val="7"/>
        </w:numPr>
        <w:spacing w:lineRule="auto" w:line="240" w:before="80" w:after="120"/>
        <w:contextualSpacing/>
        <w:rPr>
          <w:rFonts w:eastAsia="Aptos"/>
          <w:kern w:val="0"/>
          <w:sz w:val="16"/>
          <w:szCs w:val="16"/>
          <w14:ligatures w14:val="none"/>
        </w:rPr>
      </w:pPr>
      <w:r>
        <w:rPr>
          <w:rFonts w:eastAsia="Aptos"/>
          <w:kern w:val="0"/>
          <w:sz w:val="16"/>
          <w:szCs w:val="16"/>
          <w14:ligatures w14:val="none"/>
        </w:rPr>
        <w:t>EU fleet TCO analysis: FIA Region1 (2022) (https://www.fiaregion1.com/wp-content/uploads/2022/11/FIA_Study_CostofOwnership.pdf) Passenger cars in the EU - Statistics Explained - Eurostat</w:t>
      </w:r>
    </w:p>
    <w:p>
      <w:pPr>
        <w:pStyle w:val="Normal"/>
        <w:spacing w:lineRule="auto" w:line="240"/>
        <w:rPr>
          <w:rFonts w:eastAsia="Aptos"/>
          <w:kern w:val="0"/>
          <w:sz w:val="16"/>
          <w:szCs w:val="16"/>
          <w14:ligatures w14:val="none"/>
        </w:rPr>
      </w:pPr>
      <w:r>
        <w:rPr>
          <w:rFonts w:eastAsia="Aptos"/>
          <w:kern w:val="0"/>
          <w:sz w:val="16"/>
          <w:szCs w:val="16"/>
          <w14:ligatures w14:val="none"/>
        </w:rPr>
        <w:t>(2)</w:t>
      </w:r>
    </w:p>
    <w:p>
      <w:pPr>
        <w:pStyle w:val="Normal"/>
        <w:spacing w:lineRule="auto" w:line="240"/>
        <w:ind w:start="720"/>
        <w:rPr>
          <w:rFonts w:eastAsia="Aptos"/>
          <w:kern w:val="0"/>
          <w:sz w:val="16"/>
          <w:szCs w:val="16"/>
          <w14:ligatures w14:val="none"/>
        </w:rPr>
      </w:pPr>
      <w:r>
        <w:rPr/>
        <w:drawing>
          <wp:inline distT="0" distB="0" distL="0" distR="0">
            <wp:extent cx="2211705" cy="960755"/>
            <wp:effectExtent l="0" t="0" r="0" b="0"/>
            <wp:docPr id="8"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
                    <pic:cNvPicPr>
                      <a:picLocks noChangeAspect="1" noChangeArrowheads="1"/>
                    </pic:cNvPicPr>
                  </pic:nvPicPr>
                  <pic:blipFill>
                    <a:blip r:embed="rId13"/>
                    <a:stretch>
                      <a:fillRect/>
                    </a:stretch>
                  </pic:blipFill>
                  <pic:spPr bwMode="auto">
                    <a:xfrm>
                      <a:off x="0" y="0"/>
                      <a:ext cx="2211705" cy="960755"/>
                    </a:xfrm>
                    <a:prstGeom prst="rect">
                      <a:avLst/>
                    </a:prstGeom>
                    <a:noFill/>
                  </pic:spPr>
                </pic:pic>
              </a:graphicData>
            </a:graphic>
          </wp:inline>
        </w:drawing>
      </w:r>
    </w:p>
    <w:p>
      <w:pPr>
        <w:pStyle w:val="Normal"/>
        <w:spacing w:lineRule="auto" w:line="259"/>
        <w:rPr>
          <w:rFonts w:eastAsia="Aptos"/>
          <w:kern w:val="0"/>
          <w14:ligatures w14:val="none"/>
        </w:rPr>
      </w:pPr>
      <w:r>
        <w:rPr>
          <w:rFonts w:eastAsia="Aptos"/>
          <w:kern w:val="0"/>
          <w14:ligatures w14:val="none"/>
        </w:rPr>
      </w:r>
      <w:r>
        <w:br w:type="page"/>
      </w:r>
    </w:p>
    <w:tbl>
      <w:tblPr>
        <w:tblStyle w:val="TableGrid2"/>
        <w:tblW w:w="903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010"/>
        <w:gridCol w:w="1785"/>
        <w:gridCol w:w="1070"/>
        <w:gridCol w:w="1042"/>
        <w:gridCol w:w="1093"/>
        <w:gridCol w:w="914"/>
        <w:gridCol w:w="1120"/>
      </w:tblGrid>
      <w:tr>
        <w:trPr>
          <w:trHeight w:val="284" w:hRule="atLeast"/>
        </w:trPr>
        <w:tc>
          <w:tcPr>
            <w:tcW w:w="2010" w:type="dxa"/>
            <w:vMerge w:val="restart"/>
            <w:tcBorders/>
          </w:tcPr>
          <w:p>
            <w:pPr>
              <w:pStyle w:val="Normal"/>
              <w:pageBreakBefore/>
              <w:widowControl/>
              <w:spacing w:lineRule="auto" w:line="240" w:before="0" w:after="0"/>
              <w:jc w:val="center"/>
              <w:rPr>
                <w:rFonts w:eastAsia="Times New Roman"/>
                <w:b/>
                <w:color w:val="000000"/>
                <w:lang w:val="el-GR" w:eastAsia="el-GR"/>
              </w:rPr>
            </w:pPr>
            <w:r>
              <w:rPr>
                <w:rFonts w:eastAsia="Times New Roman"/>
                <w:b/>
                <w:color w:val="000000"/>
                <w:kern w:val="0"/>
                <w:lang w:val="el-GR" w:eastAsia="el-GR" w:bidi="ar-SA"/>
              </w:rPr>
              <w:t>Mode</w:t>
            </w:r>
          </w:p>
        </w:tc>
        <w:tc>
          <w:tcPr>
            <w:tcW w:w="7024" w:type="dxa"/>
            <w:gridSpan w:val="6"/>
            <w:tcBorders/>
          </w:tcPr>
          <w:p>
            <w:pPr>
              <w:pStyle w:val="Normal"/>
              <w:widowControl/>
              <w:spacing w:lineRule="auto" w:line="240" w:before="80" w:after="0"/>
              <w:jc w:val="center"/>
              <w:rPr>
                <w:rFonts w:eastAsia="Times New Roman"/>
                <w:b/>
                <w:color w:val="000000"/>
                <w:lang w:eastAsia="el-GR"/>
              </w:rPr>
            </w:pPr>
            <w:r>
              <w:rPr>
                <w:rFonts w:eastAsia="Times New Roman"/>
                <w:b/>
                <w:color w:val="000000"/>
                <w:kern w:val="0"/>
                <w:lang w:eastAsia="el-GR" w:bidi="ar-SA"/>
              </w:rPr>
              <w:t>Time related costs per minute</w:t>
            </w:r>
          </w:p>
        </w:tc>
      </w:tr>
      <w:tr>
        <w:trPr>
          <w:trHeight w:val="843" w:hRule="atLeast"/>
        </w:trPr>
        <w:tc>
          <w:tcPr>
            <w:tcW w:w="2010" w:type="dxa"/>
            <w:vMerge w:val="continue"/>
            <w:tcBorders/>
          </w:tcPr>
          <w:p>
            <w:pPr>
              <w:pStyle w:val="Normal"/>
              <w:widowControl/>
              <w:spacing w:lineRule="auto" w:line="240" w:before="80" w:after="0"/>
              <w:rPr>
                <w:rFonts w:eastAsia="Times New Roman"/>
                <w:b/>
                <w:color w:val="000000"/>
                <w:lang w:eastAsia="el-GR"/>
              </w:rPr>
            </w:pPr>
            <w:r>
              <w:rPr>
                <w:rFonts w:eastAsia="Times New Roman"/>
                <w:b/>
                <w:color w:val="000000"/>
                <w:kern w:val="0"/>
                <w:lang w:eastAsia="el-GR" w:bidi="ar-SA"/>
              </w:rPr>
            </w:r>
          </w:p>
        </w:tc>
        <w:tc>
          <w:tcPr>
            <w:tcW w:w="1785" w:type="dxa"/>
            <w:tcBorders/>
          </w:tcPr>
          <w:p>
            <w:pPr>
              <w:pStyle w:val="Normal"/>
              <w:widowControl/>
              <w:spacing w:lineRule="auto" w:line="240" w:before="80" w:after="0"/>
              <w:rPr>
                <w:rFonts w:eastAsia="Times New Roman"/>
                <w:b/>
                <w:color w:val="000000"/>
                <w:sz w:val="16"/>
                <w:szCs w:val="16"/>
                <w:lang w:val="el-GR" w:eastAsia="el-GR"/>
              </w:rPr>
            </w:pPr>
            <w:r>
              <w:rPr>
                <w:rFonts w:eastAsia="Times New Roman"/>
                <w:b/>
                <w:color w:val="000000"/>
                <w:kern w:val="0"/>
                <w:sz w:val="16"/>
                <w:szCs w:val="16"/>
                <w:lang w:val="el-GR" w:eastAsia="el-GR" w:bidi="ar-SA"/>
              </w:rPr>
              <w:t>Travel time in  minutes</w:t>
            </w:r>
          </w:p>
        </w:tc>
        <w:tc>
          <w:tcPr>
            <w:tcW w:w="1070" w:type="dxa"/>
            <w:tcBorders/>
          </w:tcPr>
          <w:p>
            <w:pPr>
              <w:pStyle w:val="Normal"/>
              <w:widowControl/>
              <w:spacing w:lineRule="auto" w:line="240" w:before="80" w:after="0"/>
              <w:jc w:val="center"/>
              <w:rPr>
                <w:rFonts w:eastAsia="Times New Roman"/>
                <w:b/>
                <w:color w:val="000000"/>
                <w:sz w:val="16"/>
                <w:szCs w:val="16"/>
                <w:lang w:eastAsia="el-GR"/>
              </w:rPr>
            </w:pPr>
            <w:r>
              <w:rPr>
                <w:rFonts w:eastAsia="Times New Roman"/>
                <w:b/>
                <w:color w:val="000000"/>
                <w:kern w:val="0"/>
                <w:sz w:val="16"/>
                <w:szCs w:val="16"/>
                <w:lang w:eastAsia="el-GR" w:bidi="ar-SA"/>
              </w:rPr>
              <w:t xml:space="preserve">Cost of travel time €/min </w:t>
            </w:r>
            <w:r>
              <w:rPr>
                <w:rFonts w:eastAsia="Times New Roman"/>
                <w:b/>
                <w:color w:val="000000"/>
                <w:kern w:val="0"/>
                <w:sz w:val="16"/>
                <w:szCs w:val="16"/>
                <w:vertAlign w:val="superscript"/>
                <w:lang w:eastAsia="el-GR" w:bidi="ar-SA"/>
              </w:rPr>
              <w:t>(3)</w:t>
            </w:r>
          </w:p>
        </w:tc>
        <w:tc>
          <w:tcPr>
            <w:tcW w:w="1042" w:type="dxa"/>
            <w:tcBorders/>
          </w:tcPr>
          <w:p>
            <w:pPr>
              <w:pStyle w:val="Normal"/>
              <w:widowControl/>
              <w:spacing w:lineRule="auto" w:line="240" w:before="80" w:after="0"/>
              <w:jc w:val="center"/>
              <w:rPr>
                <w:rFonts w:eastAsia="Times New Roman"/>
                <w:b/>
                <w:color w:val="000000"/>
                <w:sz w:val="16"/>
                <w:szCs w:val="16"/>
                <w:lang w:eastAsia="el-GR"/>
              </w:rPr>
            </w:pPr>
            <w:r>
              <w:rPr>
                <w:rFonts w:eastAsia="Times New Roman"/>
                <w:b/>
                <w:color w:val="000000"/>
                <w:kern w:val="0"/>
                <w:sz w:val="16"/>
                <w:szCs w:val="16"/>
                <w:lang w:eastAsia="el-GR" w:bidi="ar-SA"/>
              </w:rPr>
              <w:t>Waiting time at stop/station (Average) in min</w:t>
            </w:r>
          </w:p>
        </w:tc>
        <w:tc>
          <w:tcPr>
            <w:tcW w:w="1093" w:type="dxa"/>
            <w:tcBorders/>
          </w:tcPr>
          <w:p>
            <w:pPr>
              <w:pStyle w:val="Normal"/>
              <w:widowControl/>
              <w:spacing w:lineRule="auto" w:line="240" w:before="80" w:after="0"/>
              <w:jc w:val="center"/>
              <w:rPr>
                <w:rFonts w:eastAsia="Times New Roman"/>
                <w:b/>
                <w:color w:val="000000"/>
                <w:sz w:val="16"/>
                <w:szCs w:val="16"/>
                <w:lang w:eastAsia="el-GR"/>
              </w:rPr>
            </w:pPr>
            <w:r>
              <w:rPr>
                <w:rFonts w:eastAsia="Times New Roman"/>
                <w:b/>
                <w:color w:val="000000"/>
                <w:kern w:val="0"/>
                <w:sz w:val="16"/>
                <w:szCs w:val="16"/>
                <w:lang w:eastAsia="el-GR" w:bidi="ar-SA"/>
              </w:rPr>
              <w:t xml:space="preserve">Cost of waiting time €/min </w:t>
            </w:r>
            <w:r>
              <w:rPr>
                <w:rFonts w:eastAsia="Times New Roman"/>
                <w:b/>
                <w:color w:val="000000"/>
                <w:kern w:val="0"/>
                <w:sz w:val="16"/>
                <w:szCs w:val="16"/>
                <w:vertAlign w:val="superscript"/>
                <w:lang w:eastAsia="el-GR" w:bidi="ar-SA"/>
              </w:rPr>
              <w:t>(3)</w:t>
            </w:r>
          </w:p>
        </w:tc>
        <w:tc>
          <w:tcPr>
            <w:tcW w:w="914" w:type="dxa"/>
            <w:tcBorders/>
          </w:tcPr>
          <w:p>
            <w:pPr>
              <w:pStyle w:val="Normal"/>
              <w:widowControl/>
              <w:spacing w:lineRule="auto" w:line="240" w:before="80" w:after="0"/>
              <w:jc w:val="center"/>
              <w:rPr>
                <w:rFonts w:eastAsia="Times New Roman"/>
                <w:b/>
                <w:color w:val="000000"/>
                <w:sz w:val="16"/>
                <w:szCs w:val="16"/>
                <w:lang w:eastAsia="el-GR"/>
              </w:rPr>
            </w:pPr>
            <w:commentRangeStart w:id="2"/>
            <w:r>
              <w:rPr>
                <w:rFonts w:eastAsia="Times New Roman"/>
                <w:b/>
                <w:color w:val="000000"/>
                <w:kern w:val="0"/>
                <w:sz w:val="16"/>
                <w:szCs w:val="16"/>
                <w:lang w:eastAsia="el-GR" w:bidi="ar-SA"/>
              </w:rPr>
              <w:t>Seeking Parking time (Average) in min (4)</w:t>
            </w:r>
            <w:commentRangeEnd w:id="2"/>
            <w:r>
              <w:commentReference w:id="2"/>
            </w:r>
            <w:r>
              <w:rPr>
                <w:rFonts w:eastAsia="Times New Roman"/>
                <w:b/>
                <w:color w:val="000000"/>
                <w:kern w:val="0"/>
                <w:sz w:val="16"/>
                <w:szCs w:val="16"/>
                <w:lang w:eastAsia="el-GR" w:bidi="ar-SA"/>
              </w:rPr>
            </w:r>
          </w:p>
        </w:tc>
        <w:tc>
          <w:tcPr>
            <w:tcW w:w="1120" w:type="dxa"/>
            <w:tcBorders/>
          </w:tcPr>
          <w:p>
            <w:pPr>
              <w:pStyle w:val="Normal"/>
              <w:widowControl/>
              <w:spacing w:lineRule="auto" w:line="240" w:before="80" w:after="0"/>
              <w:jc w:val="center"/>
              <w:rPr>
                <w:rFonts w:eastAsia="Times New Roman"/>
                <w:b/>
                <w:color w:val="000000"/>
                <w:sz w:val="16"/>
                <w:szCs w:val="16"/>
                <w:lang w:eastAsia="el-GR"/>
              </w:rPr>
            </w:pPr>
            <w:r>
              <w:rPr>
                <w:rFonts w:eastAsia="Times New Roman"/>
                <w:b/>
                <w:color w:val="000000"/>
                <w:kern w:val="0"/>
                <w:sz w:val="16"/>
                <w:szCs w:val="16"/>
                <w:lang w:eastAsia="el-GR" w:bidi="ar-SA"/>
              </w:rPr>
              <w:t xml:space="preserve">Cost of parking time (Average) €/min </w:t>
            </w:r>
            <w:r>
              <w:rPr>
                <w:rFonts w:eastAsia="Times New Roman"/>
                <w:b/>
                <w:color w:val="000000"/>
                <w:kern w:val="0"/>
                <w:sz w:val="16"/>
                <w:szCs w:val="16"/>
                <w:vertAlign w:val="superscript"/>
                <w:lang w:eastAsia="el-GR" w:bidi="ar-SA"/>
              </w:rPr>
              <w:t>(3)</w:t>
            </w:r>
          </w:p>
        </w:tc>
      </w:tr>
      <w:tr>
        <w:trPr>
          <w:trHeight w:val="248" w:hRule="atLeast"/>
        </w:trPr>
        <w:tc>
          <w:tcPr>
            <w:tcW w:w="2010"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Car</w:t>
            </w:r>
          </w:p>
        </w:tc>
        <w:tc>
          <w:tcPr>
            <w:tcW w:w="1785" w:type="dxa"/>
            <w:tcBorders/>
          </w:tcPr>
          <w:p>
            <w:pPr>
              <w:pStyle w:val="Normal"/>
              <w:widowControl/>
              <w:spacing w:lineRule="auto" w:line="240" w:before="80" w:after="0"/>
              <w:rPr>
                <w:rFonts w:eastAsia="Times New Roman"/>
                <w:sz w:val="18"/>
                <w:szCs w:val="18"/>
                <w:lang w:val="el-GR" w:eastAsia="el-GR"/>
              </w:rPr>
            </w:pPr>
            <w:r>
              <w:rPr>
                <w:rFonts w:eastAsia="Times New Roman"/>
                <w:kern w:val="0"/>
                <w:sz w:val="18"/>
                <w:szCs w:val="18"/>
                <w:lang w:val="el-GR" w:eastAsia="el-GR" w:bidi="ar-SA"/>
              </w:rPr>
              <w:t>As calculated by routing</w:t>
            </w:r>
          </w:p>
        </w:tc>
        <w:tc>
          <w:tcPr>
            <w:tcW w:w="1070"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0,10 </w:t>
            </w:r>
          </w:p>
        </w:tc>
        <w:tc>
          <w:tcPr>
            <w:tcW w:w="1042" w:type="dxa"/>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0</w:t>
            </w:r>
          </w:p>
        </w:tc>
        <w:tc>
          <w:tcPr>
            <w:tcW w:w="1093"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914" w:type="dxa"/>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4</w:t>
            </w:r>
          </w:p>
        </w:tc>
        <w:tc>
          <w:tcPr>
            <w:tcW w:w="1120" w:type="dxa"/>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0,17 </w:t>
            </w:r>
          </w:p>
        </w:tc>
      </w:tr>
      <w:tr>
        <w:trPr>
          <w:trHeight w:val="226" w:hRule="atLeast"/>
        </w:trPr>
        <w:tc>
          <w:tcPr>
            <w:tcW w:w="2010"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Bus</w:t>
            </w:r>
          </w:p>
        </w:tc>
        <w:tc>
          <w:tcPr>
            <w:tcW w:w="1785" w:type="dxa"/>
            <w:tcBorders/>
          </w:tcPr>
          <w:p>
            <w:pPr>
              <w:pStyle w:val="Normal"/>
              <w:widowControl/>
              <w:spacing w:lineRule="auto" w:line="240" w:before="80" w:after="0"/>
              <w:rPr>
                <w:rFonts w:eastAsia="Times New Roman"/>
                <w:sz w:val="18"/>
                <w:szCs w:val="18"/>
                <w:lang w:val="el-GR" w:eastAsia="el-GR"/>
              </w:rPr>
            </w:pPr>
            <w:r>
              <w:rPr>
                <w:rFonts w:eastAsia="Times New Roman"/>
                <w:kern w:val="0"/>
                <w:sz w:val="18"/>
                <w:szCs w:val="18"/>
                <w:lang w:val="el-GR" w:eastAsia="el-GR" w:bidi="ar-SA"/>
              </w:rPr>
              <w:t>As calculated by routing</w:t>
            </w:r>
          </w:p>
        </w:tc>
        <w:tc>
          <w:tcPr>
            <w:tcW w:w="1070" w:type="dxa"/>
            <w:tcBorders/>
          </w:tcPr>
          <w:p>
            <w:pPr>
              <w:pStyle w:val="Normal"/>
              <w:widowControl/>
              <w:spacing w:lineRule="auto" w:line="240" w:before="80" w:after="0"/>
              <w:rPr>
                <w:rFonts w:eastAsia="Times New Roman"/>
                <w:lang w:eastAsia="el-GR"/>
              </w:rPr>
            </w:pPr>
            <w:r>
              <w:rPr>
                <w:rFonts w:eastAsia="Times New Roman"/>
                <w:kern w:val="0"/>
                <w:lang w:eastAsia="el-GR" w:bidi="ar-SA"/>
              </w:rPr>
              <w:t xml:space="preserve"> €      </w:t>
            </w:r>
            <w:r>
              <w:rPr>
                <w:rFonts w:eastAsia="Times New Roman"/>
                <w:kern w:val="0"/>
                <w:lang w:eastAsia="el-GR" w:bidi="ar-SA"/>
              </w:rPr>
              <w:t xml:space="preserve">0,10 </w:t>
            </w:r>
          </w:p>
        </w:tc>
        <w:tc>
          <w:tcPr>
            <w:tcW w:w="1042" w:type="dxa"/>
            <w:tcBorders/>
          </w:tcPr>
          <w:p>
            <w:pPr>
              <w:pStyle w:val="Normal"/>
              <w:widowControl/>
              <w:spacing w:lineRule="auto" w:line="240" w:before="80" w:after="0"/>
              <w:jc w:val="end"/>
              <w:rPr>
                <w:rFonts w:eastAsia="Times New Roman"/>
                <w:lang w:eastAsia="el-GR"/>
              </w:rPr>
            </w:pPr>
            <w:r>
              <w:rPr>
                <w:rFonts w:eastAsia="Times New Roman"/>
                <w:kern w:val="0"/>
                <w:lang w:eastAsia="el-GR" w:bidi="ar-SA"/>
              </w:rPr>
              <w:t>9</w:t>
            </w:r>
          </w:p>
        </w:tc>
        <w:tc>
          <w:tcPr>
            <w:tcW w:w="1093" w:type="dxa"/>
            <w:tcBorders/>
          </w:tcPr>
          <w:p>
            <w:pPr>
              <w:pStyle w:val="Normal"/>
              <w:widowControl/>
              <w:spacing w:lineRule="auto" w:line="240" w:before="80" w:after="0"/>
              <w:rPr>
                <w:rFonts w:eastAsia="Times New Roman"/>
                <w:lang w:eastAsia="el-GR"/>
              </w:rPr>
            </w:pPr>
            <w:r>
              <w:rPr>
                <w:rFonts w:eastAsia="Times New Roman"/>
                <w:kern w:val="0"/>
                <w:lang w:eastAsia="el-GR" w:bidi="ar-SA"/>
              </w:rPr>
              <w:t xml:space="preserve"> €      </w:t>
            </w:r>
            <w:r>
              <w:rPr>
                <w:rFonts w:eastAsia="Times New Roman"/>
                <w:kern w:val="0"/>
                <w:lang w:eastAsia="el-GR" w:bidi="ar-SA"/>
              </w:rPr>
              <w:t xml:space="preserve">0,08 </w:t>
            </w:r>
          </w:p>
        </w:tc>
        <w:tc>
          <w:tcPr>
            <w:tcW w:w="914" w:type="dxa"/>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0</w:t>
            </w:r>
          </w:p>
        </w:tc>
        <w:tc>
          <w:tcPr>
            <w:tcW w:w="1120" w:type="dxa"/>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r>
      <w:tr>
        <w:trPr>
          <w:trHeight w:val="189" w:hRule="atLeast"/>
        </w:trPr>
        <w:tc>
          <w:tcPr>
            <w:tcW w:w="2010"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Metro</w:t>
            </w:r>
          </w:p>
        </w:tc>
        <w:tc>
          <w:tcPr>
            <w:tcW w:w="1785" w:type="dxa"/>
            <w:tcBorders/>
          </w:tcPr>
          <w:p>
            <w:pPr>
              <w:pStyle w:val="Normal"/>
              <w:widowControl/>
              <w:spacing w:lineRule="auto" w:line="240" w:before="80" w:after="0"/>
              <w:rPr>
                <w:rFonts w:eastAsia="Times New Roman"/>
                <w:sz w:val="18"/>
                <w:szCs w:val="18"/>
                <w:lang w:val="el-GR" w:eastAsia="el-GR"/>
              </w:rPr>
            </w:pPr>
            <w:r>
              <w:rPr>
                <w:rFonts w:eastAsia="Times New Roman"/>
                <w:kern w:val="0"/>
                <w:sz w:val="18"/>
                <w:szCs w:val="18"/>
                <w:lang w:val="el-GR" w:eastAsia="el-GR" w:bidi="ar-SA"/>
              </w:rPr>
              <w:t>As calculated by routing</w:t>
            </w:r>
          </w:p>
        </w:tc>
        <w:tc>
          <w:tcPr>
            <w:tcW w:w="1070" w:type="dxa"/>
            <w:tcBorders/>
          </w:tcPr>
          <w:p>
            <w:pPr>
              <w:pStyle w:val="Normal"/>
              <w:widowControl/>
              <w:spacing w:lineRule="auto" w:line="240" w:before="80" w:after="0"/>
              <w:rPr>
                <w:rFonts w:eastAsia="Times New Roman"/>
                <w:lang w:eastAsia="el-GR"/>
              </w:rPr>
            </w:pPr>
            <w:r>
              <w:rPr>
                <w:rFonts w:eastAsia="Times New Roman"/>
                <w:kern w:val="0"/>
                <w:lang w:eastAsia="el-GR" w:bidi="ar-SA"/>
              </w:rPr>
              <w:t xml:space="preserve"> €      </w:t>
            </w:r>
            <w:r>
              <w:rPr>
                <w:rFonts w:eastAsia="Times New Roman"/>
                <w:kern w:val="0"/>
                <w:lang w:eastAsia="el-GR" w:bidi="ar-SA"/>
              </w:rPr>
              <w:t xml:space="preserve">0,10 </w:t>
            </w:r>
          </w:p>
        </w:tc>
        <w:tc>
          <w:tcPr>
            <w:tcW w:w="1042" w:type="dxa"/>
            <w:tcBorders/>
          </w:tcPr>
          <w:p>
            <w:pPr>
              <w:pStyle w:val="Normal"/>
              <w:widowControl/>
              <w:spacing w:lineRule="auto" w:line="240" w:before="80" w:after="0"/>
              <w:jc w:val="end"/>
              <w:rPr>
                <w:rFonts w:eastAsia="Times New Roman"/>
                <w:lang w:eastAsia="el-GR"/>
              </w:rPr>
            </w:pPr>
            <w:r>
              <w:rPr>
                <w:rFonts w:eastAsia="Times New Roman"/>
                <w:kern w:val="0"/>
                <w:lang w:eastAsia="el-GR" w:bidi="ar-SA"/>
              </w:rPr>
              <w:t>2</w:t>
            </w:r>
          </w:p>
        </w:tc>
        <w:tc>
          <w:tcPr>
            <w:tcW w:w="1093" w:type="dxa"/>
            <w:tcBorders/>
          </w:tcPr>
          <w:p>
            <w:pPr>
              <w:pStyle w:val="Normal"/>
              <w:widowControl/>
              <w:spacing w:lineRule="auto" w:line="240" w:before="80" w:after="0"/>
              <w:rPr>
                <w:rFonts w:eastAsia="Times New Roman"/>
                <w:lang w:eastAsia="el-GR"/>
              </w:rPr>
            </w:pPr>
            <w:r>
              <w:rPr>
                <w:rFonts w:eastAsia="Times New Roman"/>
                <w:kern w:val="0"/>
                <w:lang w:eastAsia="el-GR" w:bidi="ar-SA"/>
              </w:rPr>
              <w:t xml:space="preserve"> €      </w:t>
            </w:r>
            <w:r>
              <w:rPr>
                <w:rFonts w:eastAsia="Times New Roman"/>
                <w:kern w:val="0"/>
                <w:lang w:eastAsia="el-GR" w:bidi="ar-SA"/>
              </w:rPr>
              <w:t xml:space="preserve">0,08 </w:t>
            </w:r>
          </w:p>
        </w:tc>
        <w:tc>
          <w:tcPr>
            <w:tcW w:w="914" w:type="dxa"/>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0</w:t>
            </w:r>
          </w:p>
        </w:tc>
        <w:tc>
          <w:tcPr>
            <w:tcW w:w="1120" w:type="dxa"/>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r>
      <w:tr>
        <w:trPr>
          <w:trHeight w:val="585" w:hRule="atLeast"/>
        </w:trPr>
        <w:tc>
          <w:tcPr>
            <w:tcW w:w="2010" w:type="dxa"/>
            <w:vMerge w:val="restart"/>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shared micromobility (e-scooter, e-bike) </w:t>
            </w:r>
          </w:p>
        </w:tc>
        <w:tc>
          <w:tcPr>
            <w:tcW w:w="1785" w:type="dxa"/>
            <w:vMerge w:val="restart"/>
            <w:tcBorders/>
          </w:tcPr>
          <w:p>
            <w:pPr>
              <w:pStyle w:val="Normal"/>
              <w:widowControl/>
              <w:spacing w:lineRule="auto" w:line="240" w:before="80" w:after="0"/>
              <w:rPr>
                <w:rFonts w:eastAsia="Times New Roman"/>
                <w:sz w:val="18"/>
                <w:szCs w:val="18"/>
                <w:lang w:val="el-GR" w:eastAsia="el-GR"/>
              </w:rPr>
            </w:pPr>
            <w:r>
              <w:rPr>
                <w:rFonts w:eastAsia="Times New Roman"/>
                <w:kern w:val="0"/>
                <w:sz w:val="18"/>
                <w:szCs w:val="18"/>
                <w:lang w:val="el-GR" w:eastAsia="el-GR" w:bidi="ar-SA"/>
              </w:rPr>
              <w:t>As calculated by routing</w:t>
            </w:r>
          </w:p>
        </w:tc>
        <w:tc>
          <w:tcPr>
            <w:tcW w:w="1070" w:type="dxa"/>
            <w:tcBorders/>
          </w:tcPr>
          <w:p>
            <w:pPr>
              <w:pStyle w:val="Normal"/>
              <w:widowControl/>
              <w:spacing w:lineRule="auto" w:line="240" w:before="80" w:after="0"/>
              <w:rPr>
                <w:rFonts w:eastAsia="Times New Roman"/>
                <w:lang w:eastAsia="el-GR"/>
              </w:rPr>
            </w:pPr>
            <w:r>
              <w:rPr>
                <w:rFonts w:eastAsia="Times New Roman"/>
                <w:kern w:val="0"/>
                <w:lang w:eastAsia="el-GR" w:bidi="ar-SA"/>
              </w:rPr>
              <w:t xml:space="preserve"> €      </w:t>
            </w:r>
            <w:r>
              <w:rPr>
                <w:rFonts w:eastAsia="Times New Roman"/>
                <w:kern w:val="0"/>
                <w:lang w:eastAsia="el-GR" w:bidi="ar-SA"/>
              </w:rPr>
              <w:t xml:space="preserve">0,10 </w:t>
            </w:r>
          </w:p>
        </w:tc>
        <w:tc>
          <w:tcPr>
            <w:tcW w:w="1042" w:type="dxa"/>
            <w:vMerge w:val="restart"/>
            <w:tcBorders/>
          </w:tcPr>
          <w:p>
            <w:pPr>
              <w:pStyle w:val="Normal"/>
              <w:widowControl/>
              <w:spacing w:lineRule="auto" w:line="240" w:before="80" w:after="0"/>
              <w:jc w:val="end"/>
              <w:rPr>
                <w:rFonts w:eastAsia="Times New Roman"/>
                <w:lang w:eastAsia="el-GR"/>
              </w:rPr>
            </w:pPr>
            <w:r>
              <w:rPr>
                <w:rFonts w:eastAsia="Times New Roman"/>
                <w:kern w:val="0"/>
                <w:lang w:eastAsia="el-GR" w:bidi="ar-SA"/>
              </w:rPr>
              <w:t>0</w:t>
            </w:r>
          </w:p>
        </w:tc>
        <w:tc>
          <w:tcPr>
            <w:tcW w:w="1093" w:type="dxa"/>
            <w:vMerge w:val="restart"/>
            <w:tcBorders/>
          </w:tcPr>
          <w:p>
            <w:pPr>
              <w:pStyle w:val="Normal"/>
              <w:widowControl/>
              <w:spacing w:lineRule="auto" w:line="240" w:before="80" w:after="0"/>
              <w:rPr>
                <w:rFonts w:eastAsia="Times New Roman"/>
                <w:lang w:eastAsia="el-GR"/>
              </w:rPr>
            </w:pPr>
            <w:r>
              <w:rPr>
                <w:rFonts w:eastAsia="Times New Roman"/>
                <w:kern w:val="0"/>
                <w:lang w:eastAsia="el-GR" w:bidi="ar-SA"/>
              </w:rPr>
              <w:t xml:space="preserve"> €           </w:t>
            </w:r>
            <w:r>
              <w:rPr>
                <w:rFonts w:eastAsia="Times New Roman"/>
                <w:kern w:val="0"/>
                <w:lang w:eastAsia="el-GR" w:bidi="ar-SA"/>
              </w:rPr>
              <w:t xml:space="preserve">-   </w:t>
            </w:r>
          </w:p>
        </w:tc>
        <w:tc>
          <w:tcPr>
            <w:tcW w:w="914" w:type="dxa"/>
            <w:vMerge w:val="restart"/>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0</w:t>
            </w:r>
          </w:p>
        </w:tc>
        <w:tc>
          <w:tcPr>
            <w:tcW w:w="1120" w:type="dxa"/>
            <w:vMerge w:val="restart"/>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r>
      <w:tr>
        <w:trPr>
          <w:trHeight w:val="284" w:hRule="atLeast"/>
        </w:trPr>
        <w:tc>
          <w:tcPr>
            <w:tcW w:w="2010" w:type="dxa"/>
            <w:vMerge w:val="continue"/>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r>
          </w:p>
        </w:tc>
        <w:tc>
          <w:tcPr>
            <w:tcW w:w="1785" w:type="dxa"/>
            <w:vMerge w:val="continue"/>
            <w:tcBorders/>
          </w:tcPr>
          <w:p>
            <w:pPr>
              <w:pStyle w:val="Normal"/>
              <w:widowControl/>
              <w:spacing w:lineRule="auto" w:line="240" w:before="80" w:after="0"/>
              <w:rPr>
                <w:rFonts w:eastAsia="Times New Roman"/>
                <w:sz w:val="18"/>
                <w:szCs w:val="18"/>
                <w:lang w:eastAsia="el-GR"/>
              </w:rPr>
            </w:pPr>
            <w:r>
              <w:rPr>
                <w:rFonts w:eastAsia="Times New Roman"/>
                <w:kern w:val="0"/>
                <w:sz w:val="18"/>
                <w:szCs w:val="18"/>
                <w:lang w:eastAsia="el-GR" w:bidi="ar-SA"/>
              </w:rPr>
            </w:r>
          </w:p>
        </w:tc>
        <w:tc>
          <w:tcPr>
            <w:tcW w:w="1070" w:type="dxa"/>
            <w:tcBorders/>
          </w:tcPr>
          <w:p>
            <w:pPr>
              <w:pStyle w:val="Normal"/>
              <w:widowControl/>
              <w:spacing w:lineRule="auto" w:line="240" w:before="80" w:after="0"/>
              <w:rPr>
                <w:rFonts w:eastAsia="Times New Roman"/>
                <w:lang w:eastAsia="el-GR"/>
              </w:rPr>
            </w:pPr>
            <w:r>
              <w:rPr>
                <w:rFonts w:eastAsia="Times New Roman"/>
                <w:kern w:val="0"/>
                <w:lang w:eastAsia="el-GR" w:bidi="ar-SA"/>
              </w:rPr>
              <w:t xml:space="preserve"> €      </w:t>
            </w:r>
            <w:r>
              <w:rPr>
                <w:rFonts w:eastAsia="Times New Roman"/>
                <w:kern w:val="0"/>
                <w:lang w:eastAsia="el-GR" w:bidi="ar-SA"/>
              </w:rPr>
              <w:t xml:space="preserve">0,10 </w:t>
            </w:r>
          </w:p>
        </w:tc>
        <w:tc>
          <w:tcPr>
            <w:tcW w:w="1042" w:type="dxa"/>
            <w:vMerge w:val="continue"/>
            <w:tcBorders/>
          </w:tcPr>
          <w:p>
            <w:pPr>
              <w:pStyle w:val="Normal"/>
              <w:widowControl/>
              <w:spacing w:lineRule="auto" w:line="240" w:before="80" w:after="0"/>
              <w:rPr>
                <w:rFonts w:eastAsia="Times New Roman"/>
                <w:lang w:eastAsia="el-GR"/>
              </w:rPr>
            </w:pPr>
            <w:r>
              <w:rPr>
                <w:rFonts w:eastAsia="Times New Roman"/>
                <w:kern w:val="0"/>
                <w:lang w:eastAsia="el-GR" w:bidi="ar-SA"/>
              </w:rPr>
            </w:r>
          </w:p>
        </w:tc>
        <w:tc>
          <w:tcPr>
            <w:tcW w:w="1093" w:type="dxa"/>
            <w:vMerge w:val="continue"/>
            <w:tcBorders/>
          </w:tcPr>
          <w:p>
            <w:pPr>
              <w:pStyle w:val="Normal"/>
              <w:widowControl/>
              <w:spacing w:lineRule="auto" w:line="240" w:before="80" w:after="0"/>
              <w:rPr>
                <w:rFonts w:eastAsia="Times New Roman"/>
                <w:lang w:eastAsia="el-GR"/>
              </w:rPr>
            </w:pPr>
            <w:r>
              <w:rPr>
                <w:rFonts w:eastAsia="Times New Roman"/>
                <w:kern w:val="0"/>
                <w:lang w:eastAsia="el-GR" w:bidi="ar-SA"/>
              </w:rPr>
            </w:r>
          </w:p>
        </w:tc>
        <w:tc>
          <w:tcPr>
            <w:tcW w:w="914" w:type="dxa"/>
            <w:vMerge w:val="continue"/>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r>
          </w:p>
        </w:tc>
        <w:tc>
          <w:tcPr>
            <w:tcW w:w="1120" w:type="dxa"/>
            <w:vMerge w:val="continue"/>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r>
          </w:p>
        </w:tc>
      </w:tr>
      <w:tr>
        <w:trPr>
          <w:trHeight w:val="295" w:hRule="atLeast"/>
        </w:trPr>
        <w:tc>
          <w:tcPr>
            <w:tcW w:w="2010"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own bike</w:t>
            </w:r>
          </w:p>
        </w:tc>
        <w:tc>
          <w:tcPr>
            <w:tcW w:w="1785" w:type="dxa"/>
            <w:tcBorders/>
          </w:tcPr>
          <w:p>
            <w:pPr>
              <w:pStyle w:val="Normal"/>
              <w:widowControl/>
              <w:spacing w:lineRule="auto" w:line="240" w:before="80" w:after="0"/>
              <w:rPr>
                <w:rFonts w:eastAsia="Times New Roman"/>
                <w:sz w:val="18"/>
                <w:szCs w:val="18"/>
                <w:lang w:val="el-GR" w:eastAsia="el-GR"/>
              </w:rPr>
            </w:pPr>
            <w:r>
              <w:rPr>
                <w:rFonts w:eastAsia="Times New Roman"/>
                <w:kern w:val="0"/>
                <w:sz w:val="18"/>
                <w:szCs w:val="18"/>
                <w:lang w:val="el-GR" w:eastAsia="el-GR" w:bidi="ar-SA"/>
              </w:rPr>
              <w:t>As calculated by routing</w:t>
            </w:r>
          </w:p>
        </w:tc>
        <w:tc>
          <w:tcPr>
            <w:tcW w:w="1070" w:type="dxa"/>
            <w:tcBorders/>
          </w:tcPr>
          <w:p>
            <w:pPr>
              <w:pStyle w:val="Normal"/>
              <w:widowControl/>
              <w:spacing w:lineRule="auto" w:line="240" w:before="80" w:after="0"/>
              <w:rPr>
                <w:rFonts w:eastAsia="Times New Roman"/>
                <w:lang w:eastAsia="el-GR"/>
              </w:rPr>
            </w:pPr>
            <w:r>
              <w:rPr>
                <w:rFonts w:eastAsia="Times New Roman"/>
                <w:kern w:val="0"/>
                <w:lang w:eastAsia="el-GR" w:bidi="ar-SA"/>
              </w:rPr>
              <w:t xml:space="preserve"> €      </w:t>
            </w:r>
            <w:r>
              <w:rPr>
                <w:rFonts w:eastAsia="Times New Roman"/>
                <w:kern w:val="0"/>
                <w:lang w:eastAsia="el-GR" w:bidi="ar-SA"/>
              </w:rPr>
              <w:t xml:space="preserve">0,10 </w:t>
            </w:r>
          </w:p>
        </w:tc>
        <w:tc>
          <w:tcPr>
            <w:tcW w:w="1042" w:type="dxa"/>
            <w:tcBorders/>
          </w:tcPr>
          <w:p>
            <w:pPr>
              <w:pStyle w:val="Normal"/>
              <w:widowControl/>
              <w:spacing w:lineRule="auto" w:line="240" w:before="80" w:after="0"/>
              <w:jc w:val="end"/>
              <w:rPr>
                <w:rFonts w:eastAsia="Times New Roman"/>
                <w:lang w:eastAsia="el-GR"/>
              </w:rPr>
            </w:pPr>
            <w:r>
              <w:rPr>
                <w:rFonts w:eastAsia="Times New Roman"/>
                <w:kern w:val="0"/>
                <w:lang w:eastAsia="el-GR" w:bidi="ar-SA"/>
              </w:rPr>
              <w:t>0</w:t>
            </w:r>
          </w:p>
        </w:tc>
        <w:tc>
          <w:tcPr>
            <w:tcW w:w="1093" w:type="dxa"/>
            <w:tcBorders/>
          </w:tcPr>
          <w:p>
            <w:pPr>
              <w:pStyle w:val="Normal"/>
              <w:widowControl/>
              <w:spacing w:lineRule="auto" w:line="240" w:before="80" w:after="0"/>
              <w:rPr>
                <w:rFonts w:eastAsia="Times New Roman"/>
                <w:lang w:eastAsia="el-GR"/>
              </w:rPr>
            </w:pPr>
            <w:r>
              <w:rPr>
                <w:rFonts w:eastAsia="Times New Roman"/>
                <w:kern w:val="0"/>
                <w:lang w:eastAsia="el-GR" w:bidi="ar-SA"/>
              </w:rPr>
              <w:t xml:space="preserve"> €           </w:t>
            </w:r>
            <w:r>
              <w:rPr>
                <w:rFonts w:eastAsia="Times New Roman"/>
                <w:kern w:val="0"/>
                <w:lang w:eastAsia="el-GR" w:bidi="ar-SA"/>
              </w:rPr>
              <w:t xml:space="preserve">-   </w:t>
            </w:r>
          </w:p>
        </w:tc>
        <w:tc>
          <w:tcPr>
            <w:tcW w:w="914" w:type="dxa"/>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0</w:t>
            </w:r>
          </w:p>
        </w:tc>
        <w:tc>
          <w:tcPr>
            <w:tcW w:w="1120" w:type="dxa"/>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r>
      <w:tr>
        <w:trPr>
          <w:trHeight w:val="284" w:hRule="atLeast"/>
        </w:trPr>
        <w:tc>
          <w:tcPr>
            <w:tcW w:w="2010"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Pedestrian</w:t>
            </w:r>
          </w:p>
        </w:tc>
        <w:tc>
          <w:tcPr>
            <w:tcW w:w="1785" w:type="dxa"/>
            <w:tcBorders/>
          </w:tcPr>
          <w:p>
            <w:pPr>
              <w:pStyle w:val="Normal"/>
              <w:widowControl/>
              <w:spacing w:lineRule="auto" w:line="240" w:before="80" w:after="0"/>
              <w:rPr>
                <w:rFonts w:eastAsia="Times New Roman"/>
                <w:sz w:val="18"/>
                <w:szCs w:val="18"/>
                <w:lang w:val="el-GR" w:eastAsia="el-GR"/>
              </w:rPr>
            </w:pPr>
            <w:r>
              <w:rPr>
                <w:rFonts w:eastAsia="Times New Roman"/>
                <w:kern w:val="0"/>
                <w:sz w:val="18"/>
                <w:szCs w:val="18"/>
                <w:lang w:val="el-GR" w:eastAsia="el-GR" w:bidi="ar-SA"/>
              </w:rPr>
              <w:t>As calculated by routing</w:t>
            </w:r>
          </w:p>
        </w:tc>
        <w:tc>
          <w:tcPr>
            <w:tcW w:w="1070"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0,15 </w:t>
            </w:r>
          </w:p>
        </w:tc>
        <w:tc>
          <w:tcPr>
            <w:tcW w:w="1042" w:type="dxa"/>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0</w:t>
            </w:r>
          </w:p>
        </w:tc>
        <w:tc>
          <w:tcPr>
            <w:tcW w:w="1093"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914" w:type="dxa"/>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0</w:t>
            </w:r>
          </w:p>
        </w:tc>
        <w:tc>
          <w:tcPr>
            <w:tcW w:w="1120" w:type="dxa"/>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r>
    </w:tbl>
    <w:p>
      <w:pPr>
        <w:pStyle w:val="Normal"/>
        <w:spacing w:lineRule="auto" w:line="240"/>
        <w:rPr>
          <w:rFonts w:eastAsia="Aptos"/>
          <w:kern w:val="0"/>
          <w:sz w:val="16"/>
          <w:szCs w:val="16"/>
          <w14:ligatures w14:val="none"/>
        </w:rPr>
      </w:pPr>
      <w:r>
        <w:rPr>
          <w:rFonts w:eastAsia="Aptos"/>
          <w:kern w:val="0"/>
          <w:sz w:val="16"/>
          <w:szCs w:val="16"/>
          <w14:ligatures w14:val="none"/>
        </w:rPr>
      </w:r>
    </w:p>
    <w:p>
      <w:pPr>
        <w:pStyle w:val="Normal"/>
        <w:spacing w:lineRule="auto" w:line="240"/>
        <w:rPr>
          <w:rFonts w:eastAsia="Aptos"/>
          <w:kern w:val="0"/>
          <w:sz w:val="16"/>
          <w:szCs w:val="16"/>
          <w14:ligatures w14:val="none"/>
        </w:rPr>
      </w:pPr>
      <w:r>
        <w:rPr>
          <w:rFonts w:eastAsia="Aptos"/>
          <w:kern w:val="0"/>
          <w:sz w:val="16"/>
          <w:szCs w:val="16"/>
          <w14:ligatures w14:val="none"/>
        </w:rPr>
        <w:t>(3)</w:t>
      </w:r>
    </w:p>
    <w:p>
      <w:pPr>
        <w:pStyle w:val="Normal"/>
        <w:numPr>
          <w:ilvl w:val="0"/>
          <w:numId w:val="11"/>
        </w:numPr>
        <w:spacing w:lineRule="auto" w:line="240" w:before="80" w:after="120"/>
        <w:contextualSpacing/>
        <w:rPr>
          <w:rFonts w:eastAsia="Aptos"/>
          <w:kern w:val="0"/>
          <w:sz w:val="16"/>
          <w:szCs w:val="16"/>
          <w14:ligatures w14:val="none"/>
        </w:rPr>
      </w:pPr>
      <w:r>
        <w:rPr>
          <w:rFonts w:eastAsia="Times New Roman"/>
          <w:color w:val="000000"/>
          <w:kern w:val="0"/>
          <w:sz w:val="16"/>
          <w:szCs w:val="16"/>
          <w:lang w:eastAsia="el-GR"/>
          <w14:ligatures w14:val="none"/>
        </w:rPr>
        <w:t>Transportation Development Study for the Thessaloniki Metro</w:t>
      </w:r>
    </w:p>
    <w:p>
      <w:pPr>
        <w:pStyle w:val="Normal"/>
        <w:spacing w:lineRule="auto" w:line="240"/>
        <w:rPr>
          <w:rFonts w:eastAsia="Aptos"/>
          <w:kern w:val="0"/>
          <w:sz w:val="16"/>
          <w:szCs w:val="16"/>
          <w14:ligatures w14:val="none"/>
        </w:rPr>
      </w:pPr>
      <w:r>
        <w:rPr>
          <w:rFonts w:eastAsia="Aptos"/>
          <w:kern w:val="0"/>
          <w:sz w:val="16"/>
          <w:szCs w:val="16"/>
          <w14:ligatures w14:val="none"/>
        </w:rPr>
        <w:t>(4)</w:t>
      </w:r>
    </w:p>
    <w:tbl>
      <w:tblPr>
        <w:tblStyle w:val="TableGrid1"/>
        <w:tblW w:w="934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18"/>
        <w:gridCol w:w="1859"/>
        <w:gridCol w:w="3734"/>
        <w:gridCol w:w="3172"/>
        <w:gridCol w:w="263"/>
      </w:tblGrid>
      <w:tr>
        <w:trPr>
          <w:trHeight w:val="300" w:hRule="atLeast"/>
        </w:trPr>
        <w:tc>
          <w:tcPr>
            <w:tcW w:w="9346" w:type="dxa"/>
            <w:gridSpan w:val="5"/>
            <w:tcBorders/>
          </w:tcPr>
          <w:p>
            <w:pPr>
              <w:pStyle w:val="Normal"/>
              <w:widowControl/>
              <w:numPr>
                <w:ilvl w:val="0"/>
                <w:numId w:val="8"/>
              </w:numPr>
              <w:spacing w:lineRule="auto" w:line="240" w:before="80" w:after="0"/>
              <w:contextualSpacing/>
              <w:rPr>
                <w:rFonts w:eastAsia="Times New Roman"/>
                <w:color w:val="000000"/>
                <w:sz w:val="16"/>
                <w:szCs w:val="16"/>
                <w:lang w:eastAsia="el-GR"/>
              </w:rPr>
            </w:pPr>
            <w:r>
              <w:rPr>
                <w:rFonts w:eastAsia="Times New Roman"/>
                <w:color w:val="000000"/>
                <w:kern w:val="0"/>
                <w:sz w:val="16"/>
                <w:szCs w:val="16"/>
                <w:lang w:eastAsia="el-GR" w:bidi="ar-SA"/>
              </w:rPr>
              <w:t>Estimating Parking Search Times for Transport Modelling in Europe: A Hierarchical Bayes Approach with Cross-Regional Data Integration</w:t>
            </w:r>
          </w:p>
        </w:tc>
      </w:tr>
      <w:tr>
        <w:trPr>
          <w:trHeight w:val="300" w:hRule="atLeast"/>
        </w:trPr>
        <w:tc>
          <w:tcPr>
            <w:tcW w:w="9346" w:type="dxa"/>
            <w:gridSpan w:val="5"/>
            <w:tcBorders/>
          </w:tcPr>
          <w:p>
            <w:pPr>
              <w:pStyle w:val="Normal"/>
              <w:widowControl/>
              <w:numPr>
                <w:ilvl w:val="0"/>
                <w:numId w:val="8"/>
              </w:numPr>
              <w:spacing w:lineRule="auto" w:line="240" w:before="80" w:after="0"/>
              <w:contextualSpacing/>
              <w:rPr>
                <w:rFonts w:eastAsia="Times New Roman"/>
                <w:color w:val="000000"/>
                <w:sz w:val="16"/>
                <w:szCs w:val="16"/>
                <w:lang w:eastAsia="el-GR"/>
              </w:rPr>
            </w:pPr>
            <w:hyperlink r:id="rId14">
              <w:r>
                <w:rPr>
                  <w:rStyle w:val="Style"/>
                  <w:rFonts w:eastAsia="Times New Roman"/>
                  <w:color w:val="467886"/>
                  <w:kern w:val="0"/>
                  <w:sz w:val="16"/>
                  <w:szCs w:val="16"/>
                  <w:u w:val="single"/>
                  <w:lang w:eastAsia="el-GR" w:bidi="ar-SA"/>
                </w:rPr>
                <w:t>https://www.researchgate.net/publication/392778310_Estimating_Parking_Search_Times_for_Transport_Modelling_in_Europe_A_Hierarchical_Bayes_Approach_with_Cross-Regional_Data_Integration</w:t>
              </w:r>
            </w:hyperlink>
          </w:p>
        </w:tc>
      </w:tr>
      <w:tr>
        <w:trPr>
          <w:trHeight w:val="315" w:hRule="atLeast"/>
        </w:trPr>
        <w:tc>
          <w:tcPr>
            <w:tcW w:w="318" w:type="dxa"/>
            <w:tcBorders>
              <w:top w:val="nil"/>
              <w:start w:val="nil"/>
              <w:bottom w:val="nil"/>
              <w:end w:val="nil"/>
            </w:tcBorders>
          </w:tcPr>
          <w:p>
            <w:pPr>
              <w:pStyle w:val="Normal"/>
              <w:widowControl/>
              <w:spacing w:lineRule="auto" w:line="240" w:before="80" w:after="0"/>
              <w:jc w:val="center"/>
              <w:rPr>
                <w:rFonts w:eastAsia="Times New Roman"/>
                <w:b/>
                <w:color w:val="000000"/>
                <w:lang w:val="el-GR" w:eastAsia="el-GR"/>
              </w:rPr>
            </w:pPr>
            <w:r>
              <w:rPr>
                <w:rFonts w:eastAsia="Times New Roman"/>
                <w:b/>
                <w:color w:val="000000"/>
                <w:kern w:val="0"/>
                <w:lang w:val="el-GR" w:eastAsia="el-GR" w:bidi="ar-SA"/>
              </w:rPr>
            </w:r>
          </w:p>
        </w:tc>
        <w:tc>
          <w:tcPr>
            <w:tcW w:w="1859" w:type="dxa"/>
            <w:vMerge w:val="restart"/>
            <w:tcBorders/>
          </w:tcPr>
          <w:p>
            <w:pPr>
              <w:pStyle w:val="Normal"/>
              <w:widowControl/>
              <w:spacing w:lineRule="auto" w:line="240" w:before="80" w:after="0"/>
              <w:jc w:val="center"/>
              <w:rPr>
                <w:rFonts w:eastAsia="Times New Roman"/>
                <w:b/>
                <w:color w:val="000000"/>
                <w:lang w:val="el-GR" w:eastAsia="el-GR"/>
              </w:rPr>
            </w:pPr>
            <w:r>
              <w:rPr>
                <w:rFonts w:eastAsia="Times New Roman"/>
                <w:b/>
                <w:color w:val="000000"/>
                <w:kern w:val="0"/>
                <w:lang w:val="el-GR" w:eastAsia="el-GR" w:bidi="ar-SA"/>
              </w:rPr>
              <w:t>Mode</w:t>
            </w:r>
          </w:p>
        </w:tc>
        <w:tc>
          <w:tcPr>
            <w:tcW w:w="6906" w:type="dxa"/>
            <w:gridSpan w:val="2"/>
            <w:tcBorders/>
          </w:tcPr>
          <w:p>
            <w:pPr>
              <w:pStyle w:val="Normal"/>
              <w:widowControl/>
              <w:spacing w:lineRule="auto" w:line="240" w:before="80" w:after="0"/>
              <w:jc w:val="center"/>
              <w:rPr>
                <w:rFonts w:eastAsia="Times New Roman"/>
                <w:b/>
                <w:color w:val="000000"/>
                <w:lang w:val="el-GR" w:eastAsia="el-GR"/>
              </w:rPr>
            </w:pPr>
            <w:r>
              <w:rPr>
                <w:rFonts w:eastAsia="Times New Roman"/>
                <w:b/>
                <w:color w:val="000000"/>
                <w:kern w:val="0"/>
                <w:lang w:val="el-GR" w:eastAsia="el-GR" w:bidi="ar-SA"/>
              </w:rPr>
              <w:t>Parking cost</w:t>
            </w:r>
          </w:p>
        </w:tc>
        <w:tc>
          <w:tcPr>
            <w:tcW w:w="263" w:type="dxa"/>
            <w:tcBorders>
              <w:top w:val="nil"/>
              <w:start w:val="nil"/>
              <w:bottom w:val="nil"/>
              <w:end w:val="nil"/>
            </w:tcBorders>
          </w:tcPr>
          <w:p>
            <w:pPr>
              <w:pStyle w:val="Normal"/>
              <w:widowControl/>
              <w:spacing w:lineRule="atLeast" w:line="0" w:before="0" w:after="0"/>
              <w:rPr>
                <w:sz w:val="2"/>
              </w:rPr>
            </w:pPr>
            <w:r>
              <w:rPr>
                <w:kern w:val="0"/>
                <w:sz w:val="2"/>
                <w:lang w:eastAsia="en-US" w:bidi="ar-SA"/>
              </w:rPr>
            </w:r>
          </w:p>
        </w:tc>
      </w:tr>
      <w:tr>
        <w:trPr>
          <w:trHeight w:val="453" w:hRule="atLeast"/>
        </w:trPr>
        <w:tc>
          <w:tcPr>
            <w:tcW w:w="318" w:type="dxa"/>
            <w:tcBorders>
              <w:top w:val="nil"/>
              <w:start w:val="nil"/>
              <w:bottom w:val="nil"/>
              <w:end w:val="nil"/>
            </w:tcBorders>
          </w:tcPr>
          <w:p>
            <w:pPr>
              <w:pStyle w:val="Normal"/>
              <w:widowControl/>
              <w:spacing w:lineRule="auto" w:line="240" w:before="80" w:after="0"/>
              <w:rPr>
                <w:rFonts w:eastAsia="Times New Roman"/>
                <w:b/>
                <w:color w:val="000000"/>
                <w:lang w:eastAsia="el-GR"/>
              </w:rPr>
            </w:pPr>
            <w:r>
              <w:rPr>
                <w:rFonts w:eastAsia="Times New Roman"/>
                <w:b/>
                <w:color w:val="000000"/>
                <w:kern w:val="0"/>
                <w:lang w:eastAsia="el-GR" w:bidi="ar-SA"/>
              </w:rPr>
            </w:r>
          </w:p>
        </w:tc>
        <w:tc>
          <w:tcPr>
            <w:tcW w:w="1859" w:type="dxa"/>
            <w:vMerge w:val="continue"/>
            <w:tcBorders/>
          </w:tcPr>
          <w:p>
            <w:pPr>
              <w:pStyle w:val="Normal"/>
              <w:widowControl/>
              <w:spacing w:lineRule="auto" w:line="240" w:before="80" w:after="0"/>
              <w:rPr>
                <w:rFonts w:eastAsia="Times New Roman"/>
                <w:b/>
                <w:color w:val="000000"/>
                <w:lang w:eastAsia="el-GR"/>
              </w:rPr>
            </w:pPr>
            <w:r>
              <w:rPr>
                <w:rFonts w:eastAsia="Times New Roman"/>
                <w:b/>
                <w:color w:val="000000"/>
                <w:kern w:val="0"/>
                <w:lang w:eastAsia="el-GR" w:bidi="ar-SA"/>
              </w:rPr>
            </w:r>
          </w:p>
        </w:tc>
        <w:tc>
          <w:tcPr>
            <w:tcW w:w="3734" w:type="dxa"/>
            <w:tcBorders/>
          </w:tcPr>
          <w:p>
            <w:pPr>
              <w:pStyle w:val="Normal"/>
              <w:widowControl/>
              <w:spacing w:lineRule="auto" w:line="240" w:before="80" w:after="0"/>
              <w:rPr>
                <w:rFonts w:eastAsia="Times New Roman"/>
                <w:b/>
                <w:color w:val="000000"/>
                <w:sz w:val="16"/>
                <w:szCs w:val="16"/>
                <w:lang w:val="en-US" w:eastAsia="el-GR"/>
              </w:rPr>
            </w:pPr>
            <w:r>
              <w:rPr>
                <w:rFonts w:eastAsia="Times New Roman"/>
                <w:b/>
                <w:color w:val="000000"/>
                <w:kern w:val="0"/>
                <w:sz w:val="16"/>
                <w:szCs w:val="16"/>
                <w:lang w:val="en-US" w:eastAsia="el-GR" w:bidi="ar-SA"/>
              </w:rPr>
              <w:t>Average on street cost per hour. Only for city centre, only for car mode</w:t>
            </w:r>
          </w:p>
        </w:tc>
        <w:tc>
          <w:tcPr>
            <w:tcW w:w="3172" w:type="dxa"/>
            <w:tcBorders/>
          </w:tcPr>
          <w:p>
            <w:pPr>
              <w:pStyle w:val="Normal"/>
              <w:widowControl/>
              <w:spacing w:lineRule="auto" w:line="240" w:before="80" w:after="0"/>
              <w:rPr>
                <w:rFonts w:eastAsia="Times New Roman"/>
                <w:b/>
                <w:color w:val="000000"/>
                <w:sz w:val="16"/>
                <w:szCs w:val="16"/>
                <w:lang w:val="en-US" w:eastAsia="el-GR"/>
              </w:rPr>
            </w:pPr>
            <w:r>
              <w:rPr>
                <w:rFonts w:eastAsia="Times New Roman"/>
                <w:b/>
                <w:color w:val="000000"/>
                <w:kern w:val="0"/>
                <w:sz w:val="16"/>
                <w:szCs w:val="16"/>
                <w:lang w:val="en-US" w:eastAsia="el-GR" w:bidi="ar-SA"/>
              </w:rPr>
              <w:t>Average off street cost per hour. Only for city centre, only for car mode</w:t>
            </w:r>
          </w:p>
        </w:tc>
        <w:tc>
          <w:tcPr>
            <w:tcW w:w="263" w:type="dxa"/>
            <w:tcBorders>
              <w:top w:val="nil"/>
              <w:start w:val="nil"/>
              <w:bottom w:val="nil"/>
              <w:end w:val="nil"/>
            </w:tcBorders>
          </w:tcPr>
          <w:p>
            <w:pPr>
              <w:pStyle w:val="Normal"/>
              <w:widowControl/>
              <w:spacing w:lineRule="atLeast" w:line="0" w:before="0" w:after="0"/>
              <w:rPr>
                <w:sz w:val="2"/>
              </w:rPr>
            </w:pPr>
            <w:r>
              <w:rPr>
                <w:kern w:val="0"/>
                <w:sz w:val="2"/>
                <w:lang w:eastAsia="en-US" w:bidi="ar-SA"/>
              </w:rPr>
            </w:r>
          </w:p>
        </w:tc>
      </w:tr>
      <w:tr>
        <w:trPr>
          <w:trHeight w:val="300" w:hRule="atLeast"/>
        </w:trPr>
        <w:tc>
          <w:tcPr>
            <w:tcW w:w="318" w:type="dxa"/>
            <w:tcBorders>
              <w:top w:val="nil"/>
              <w:start w:val="nil"/>
              <w:bottom w:val="nil"/>
              <w:end w:val="nil"/>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r>
          </w:p>
        </w:tc>
        <w:tc>
          <w:tcPr>
            <w:tcW w:w="1859"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Car</w:t>
            </w:r>
          </w:p>
        </w:tc>
        <w:tc>
          <w:tcPr>
            <w:tcW w:w="3734" w:type="dxa"/>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1,70 </w:t>
            </w:r>
          </w:p>
        </w:tc>
        <w:tc>
          <w:tcPr>
            <w:tcW w:w="3172" w:type="dxa"/>
            <w:tcBorders/>
          </w:tcPr>
          <w:p>
            <w:pPr>
              <w:pStyle w:val="Normal"/>
              <w:widowControl/>
              <w:spacing w:lineRule="auto" w:line="240" w:before="80" w:after="0"/>
              <w:ind w:firstLineChars="100"/>
              <w:rPr>
                <w:rFonts w:eastAsia="Times New Roman"/>
                <w:color w:val="12501A"/>
                <w:lang w:eastAsia="el-GR"/>
              </w:rPr>
            </w:pPr>
            <w:r>
              <w:rPr>
                <w:rFonts w:eastAsia="Times New Roman"/>
                <w:color w:val="12501A"/>
                <w:kern w:val="0"/>
                <w:lang w:eastAsia="el-GR" w:bidi="ar-SA"/>
              </w:rPr>
              <w:t xml:space="preserve"> €                            </w:t>
            </w:r>
            <w:r>
              <w:rPr>
                <w:rFonts w:eastAsia="Times New Roman"/>
                <w:color w:val="12501A"/>
                <w:kern w:val="0"/>
                <w:lang w:eastAsia="el-GR" w:bidi="ar-SA"/>
              </w:rPr>
              <w:t xml:space="preserve">4,00 </w:t>
            </w:r>
          </w:p>
        </w:tc>
        <w:tc>
          <w:tcPr>
            <w:tcW w:w="263" w:type="dxa"/>
            <w:tcBorders>
              <w:top w:val="nil"/>
              <w:start w:val="nil"/>
              <w:bottom w:val="nil"/>
              <w:end w:val="nil"/>
            </w:tcBorders>
          </w:tcPr>
          <w:p>
            <w:pPr>
              <w:pStyle w:val="Normal"/>
              <w:widowControl/>
              <w:spacing w:lineRule="atLeast" w:line="0" w:before="0" w:after="0"/>
              <w:rPr>
                <w:sz w:val="2"/>
              </w:rPr>
            </w:pPr>
            <w:r>
              <w:rPr>
                <w:kern w:val="0"/>
                <w:sz w:val="2"/>
                <w:lang w:eastAsia="en-US" w:bidi="ar-SA"/>
              </w:rPr>
            </w:r>
          </w:p>
        </w:tc>
      </w:tr>
      <w:tr>
        <w:trPr>
          <w:trHeight w:val="300" w:hRule="atLeast"/>
        </w:trPr>
        <w:tc>
          <w:tcPr>
            <w:tcW w:w="318" w:type="dxa"/>
            <w:tcBorders>
              <w:top w:val="nil"/>
              <w:start w:val="nil"/>
              <w:bottom w:val="nil"/>
              <w:end w:val="nil"/>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r>
          </w:p>
        </w:tc>
        <w:tc>
          <w:tcPr>
            <w:tcW w:w="1859"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Bus</w:t>
            </w:r>
          </w:p>
        </w:tc>
        <w:tc>
          <w:tcPr>
            <w:tcW w:w="3734" w:type="dxa"/>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3172" w:type="dxa"/>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263" w:type="dxa"/>
            <w:tcBorders>
              <w:top w:val="nil"/>
              <w:start w:val="nil"/>
              <w:bottom w:val="nil"/>
              <w:end w:val="nil"/>
            </w:tcBorders>
          </w:tcPr>
          <w:p>
            <w:pPr>
              <w:pStyle w:val="Normal"/>
              <w:widowControl/>
              <w:spacing w:lineRule="atLeast" w:line="0" w:before="0" w:after="0"/>
              <w:rPr>
                <w:sz w:val="2"/>
              </w:rPr>
            </w:pPr>
            <w:r>
              <w:rPr>
                <w:kern w:val="0"/>
                <w:sz w:val="2"/>
                <w:lang w:eastAsia="en-US" w:bidi="ar-SA"/>
              </w:rPr>
            </w:r>
          </w:p>
        </w:tc>
      </w:tr>
      <w:tr>
        <w:trPr>
          <w:trHeight w:val="300" w:hRule="atLeast"/>
        </w:trPr>
        <w:tc>
          <w:tcPr>
            <w:tcW w:w="318" w:type="dxa"/>
            <w:tcBorders>
              <w:top w:val="nil"/>
              <w:start w:val="nil"/>
              <w:bottom w:val="nil"/>
              <w:end w:val="nil"/>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r>
          </w:p>
        </w:tc>
        <w:tc>
          <w:tcPr>
            <w:tcW w:w="1859"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Metro</w:t>
            </w:r>
          </w:p>
        </w:tc>
        <w:tc>
          <w:tcPr>
            <w:tcW w:w="3734" w:type="dxa"/>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3172" w:type="dxa"/>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263" w:type="dxa"/>
            <w:tcBorders>
              <w:top w:val="nil"/>
              <w:start w:val="nil"/>
              <w:bottom w:val="nil"/>
              <w:end w:val="nil"/>
            </w:tcBorders>
          </w:tcPr>
          <w:p>
            <w:pPr>
              <w:pStyle w:val="Normal"/>
              <w:widowControl/>
              <w:spacing w:lineRule="atLeast" w:line="0" w:before="0" w:after="0"/>
              <w:rPr>
                <w:sz w:val="2"/>
              </w:rPr>
            </w:pPr>
            <w:r>
              <w:rPr>
                <w:kern w:val="0"/>
                <w:sz w:val="2"/>
                <w:lang w:eastAsia="en-US" w:bidi="ar-SA"/>
              </w:rPr>
            </w:r>
          </w:p>
        </w:tc>
      </w:tr>
      <w:tr>
        <w:trPr>
          <w:trHeight w:val="480" w:hRule="atLeast"/>
        </w:trPr>
        <w:tc>
          <w:tcPr>
            <w:tcW w:w="318" w:type="dxa"/>
            <w:tcBorders>
              <w:top w:val="nil"/>
              <w:start w:val="nil"/>
              <w:bottom w:val="nil"/>
              <w:end w:val="nil"/>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r>
          </w:p>
        </w:tc>
        <w:tc>
          <w:tcPr>
            <w:tcW w:w="1859" w:type="dxa"/>
            <w:vMerge w:val="restart"/>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shared micromobility (e-scooter, e-bike) </w:t>
            </w:r>
          </w:p>
        </w:tc>
        <w:tc>
          <w:tcPr>
            <w:tcW w:w="3734" w:type="dxa"/>
            <w:vMerge w:val="restart"/>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3172" w:type="dxa"/>
            <w:vMerge w:val="restart"/>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263" w:type="dxa"/>
            <w:tcBorders>
              <w:top w:val="nil"/>
              <w:start w:val="nil"/>
              <w:bottom w:val="nil"/>
              <w:end w:val="nil"/>
            </w:tcBorders>
          </w:tcPr>
          <w:p>
            <w:pPr>
              <w:pStyle w:val="Normal"/>
              <w:widowControl/>
              <w:spacing w:lineRule="atLeast" w:line="0" w:before="0" w:after="0"/>
              <w:rPr>
                <w:sz w:val="2"/>
              </w:rPr>
            </w:pPr>
            <w:r>
              <w:rPr>
                <w:kern w:val="0"/>
                <w:sz w:val="2"/>
                <w:lang w:eastAsia="en-US" w:bidi="ar-SA"/>
              </w:rPr>
            </w:r>
          </w:p>
        </w:tc>
      </w:tr>
      <w:tr>
        <w:trPr>
          <w:trHeight w:val="471" w:hRule="atLeast"/>
        </w:trPr>
        <w:tc>
          <w:tcPr>
            <w:tcW w:w="318" w:type="dxa"/>
            <w:tcBorders>
              <w:top w:val="nil"/>
              <w:start w:val="nil"/>
              <w:bottom w:val="nil"/>
              <w:end w:val="nil"/>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r>
          </w:p>
        </w:tc>
        <w:tc>
          <w:tcPr>
            <w:tcW w:w="1859" w:type="dxa"/>
            <w:vMerge w:val="continue"/>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r>
          </w:p>
        </w:tc>
        <w:tc>
          <w:tcPr>
            <w:tcW w:w="3734" w:type="dxa"/>
            <w:vMerge w:val="continue"/>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r>
          </w:p>
        </w:tc>
        <w:tc>
          <w:tcPr>
            <w:tcW w:w="3172" w:type="dxa"/>
            <w:vMerge w:val="continue"/>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r>
          </w:p>
        </w:tc>
        <w:tc>
          <w:tcPr>
            <w:tcW w:w="263" w:type="dxa"/>
            <w:tcBorders>
              <w:top w:val="nil"/>
              <w:start w:val="nil"/>
              <w:bottom w:val="nil"/>
              <w:end w:val="nil"/>
            </w:tcBorders>
          </w:tcPr>
          <w:p>
            <w:pPr>
              <w:pStyle w:val="Normal"/>
              <w:widowControl/>
              <w:spacing w:lineRule="atLeast" w:line="0" w:before="0" w:after="0"/>
              <w:rPr>
                <w:sz w:val="2"/>
              </w:rPr>
            </w:pPr>
            <w:r>
              <w:rPr>
                <w:kern w:val="0"/>
                <w:sz w:val="2"/>
                <w:lang w:eastAsia="en-US" w:bidi="ar-SA"/>
              </w:rPr>
            </w:r>
          </w:p>
        </w:tc>
      </w:tr>
      <w:tr>
        <w:trPr>
          <w:trHeight w:val="300" w:hRule="atLeast"/>
        </w:trPr>
        <w:tc>
          <w:tcPr>
            <w:tcW w:w="318" w:type="dxa"/>
            <w:tcBorders>
              <w:top w:val="nil"/>
              <w:start w:val="nil"/>
              <w:bottom w:val="nil"/>
              <w:end w:val="nil"/>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r>
          </w:p>
        </w:tc>
        <w:tc>
          <w:tcPr>
            <w:tcW w:w="1859"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own bike</w:t>
            </w:r>
          </w:p>
        </w:tc>
        <w:tc>
          <w:tcPr>
            <w:tcW w:w="3734" w:type="dxa"/>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3172" w:type="dxa"/>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263" w:type="dxa"/>
            <w:tcBorders>
              <w:top w:val="nil"/>
              <w:start w:val="nil"/>
              <w:bottom w:val="nil"/>
              <w:end w:val="nil"/>
            </w:tcBorders>
          </w:tcPr>
          <w:p>
            <w:pPr>
              <w:pStyle w:val="Normal"/>
              <w:widowControl/>
              <w:spacing w:lineRule="atLeast" w:line="0" w:before="0" w:after="0"/>
              <w:rPr>
                <w:sz w:val="2"/>
              </w:rPr>
            </w:pPr>
            <w:r>
              <w:rPr>
                <w:kern w:val="0"/>
                <w:sz w:val="2"/>
                <w:lang w:eastAsia="en-US" w:bidi="ar-SA"/>
              </w:rPr>
            </w:r>
          </w:p>
        </w:tc>
      </w:tr>
      <w:tr>
        <w:trPr>
          <w:trHeight w:val="315" w:hRule="atLeast"/>
        </w:trPr>
        <w:tc>
          <w:tcPr>
            <w:tcW w:w="318" w:type="dxa"/>
            <w:tcBorders>
              <w:top w:val="nil"/>
              <w:start w:val="nil"/>
              <w:bottom w:val="nil"/>
              <w:end w:val="nil"/>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r>
          </w:p>
        </w:tc>
        <w:tc>
          <w:tcPr>
            <w:tcW w:w="1859"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Pedestrian</w:t>
            </w:r>
          </w:p>
        </w:tc>
        <w:tc>
          <w:tcPr>
            <w:tcW w:w="3734" w:type="dxa"/>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3172" w:type="dxa"/>
            <w:tcBorders/>
          </w:tcPr>
          <w:p>
            <w:pPr>
              <w:pStyle w:val="Normal"/>
              <w:widowControl/>
              <w:spacing w:lineRule="auto" w:line="240" w:before="80" w:after="0"/>
              <w:ind w:firstLineChars="10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263" w:type="dxa"/>
            <w:tcBorders>
              <w:top w:val="nil"/>
              <w:start w:val="nil"/>
              <w:bottom w:val="nil"/>
              <w:end w:val="nil"/>
            </w:tcBorders>
          </w:tcPr>
          <w:p>
            <w:pPr>
              <w:pStyle w:val="Normal"/>
              <w:widowControl/>
              <w:spacing w:lineRule="atLeast" w:line="0" w:before="0" w:after="0"/>
              <w:rPr>
                <w:sz w:val="2"/>
              </w:rPr>
            </w:pPr>
            <w:r>
              <w:rPr>
                <w:kern w:val="0"/>
                <w:sz w:val="2"/>
                <w:lang w:eastAsia="en-US" w:bidi="ar-SA"/>
              </w:rPr>
            </w:r>
          </w:p>
        </w:tc>
      </w:tr>
    </w:tbl>
    <w:p>
      <w:pPr>
        <w:pStyle w:val="Normal"/>
        <w:spacing w:lineRule="auto" w:line="259"/>
        <w:rPr>
          <w:rFonts w:eastAsia="Aptos"/>
          <w:kern w:val="0"/>
          <w14:ligatures w14:val="none"/>
        </w:rPr>
      </w:pPr>
      <w:r>
        <w:rPr>
          <w:rFonts w:eastAsia="Aptos"/>
          <w:kern w:val="0"/>
          <w14:ligatures w14:val="none"/>
        </w:rPr>
      </w:r>
    </w:p>
    <w:p>
      <w:pPr>
        <w:pStyle w:val="Normal"/>
        <w:spacing w:lineRule="auto" w:line="259"/>
        <w:rPr>
          <w:rFonts w:eastAsia="Aptos"/>
          <w:kern w:val="0"/>
          <w14:ligatures w14:val="none"/>
        </w:rPr>
      </w:pPr>
      <w:r>
        <w:rPr>
          <w:rFonts w:eastAsia="Aptos"/>
          <w:kern w:val="0"/>
          <w14:ligatures w14:val="none"/>
        </w:rPr>
      </w:r>
      <w:r>
        <w:br w:type="page"/>
      </w:r>
    </w:p>
    <w:tbl>
      <w:tblPr>
        <w:tblStyle w:val="TableGrid2"/>
        <w:tblW w:w="902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975"/>
        <w:gridCol w:w="2835"/>
        <w:gridCol w:w="2267"/>
        <w:gridCol w:w="1943"/>
      </w:tblGrid>
      <w:tr>
        <w:trPr>
          <w:trHeight w:val="60" w:hRule="atLeast"/>
        </w:trPr>
        <w:tc>
          <w:tcPr>
            <w:tcW w:w="1975" w:type="dxa"/>
            <w:vMerge w:val="restart"/>
            <w:tcBorders/>
          </w:tcPr>
          <w:p>
            <w:pPr>
              <w:pStyle w:val="Normal"/>
              <w:pageBreakBefore/>
              <w:widowControl/>
              <w:spacing w:lineRule="auto" w:line="240" w:before="0" w:after="0"/>
              <w:jc w:val="center"/>
              <w:rPr>
                <w:rFonts w:eastAsia="Times New Roman"/>
                <w:b/>
                <w:color w:val="000000"/>
                <w:lang w:val="el-GR" w:eastAsia="el-GR"/>
              </w:rPr>
            </w:pPr>
            <w:r>
              <w:rPr>
                <w:rFonts w:eastAsia="Times New Roman"/>
                <w:b/>
                <w:color w:val="000000"/>
                <w:kern w:val="0"/>
                <w:lang w:val="el-GR" w:eastAsia="el-GR" w:bidi="ar-SA"/>
              </w:rPr>
              <w:t>Mode</w:t>
            </w:r>
          </w:p>
        </w:tc>
        <w:tc>
          <w:tcPr>
            <w:tcW w:w="2835" w:type="dxa"/>
            <w:vMerge w:val="restart"/>
            <w:tcBorders/>
          </w:tcPr>
          <w:p>
            <w:pPr>
              <w:pStyle w:val="Normal"/>
              <w:widowControl/>
              <w:spacing w:lineRule="auto" w:line="240" w:before="80" w:after="0"/>
              <w:rPr>
                <w:rFonts w:eastAsia="Times New Roman"/>
                <w:b/>
                <w:color w:val="000000"/>
                <w:lang w:val="el-GR" w:eastAsia="el-GR"/>
              </w:rPr>
            </w:pPr>
            <w:r>
              <w:rPr>
                <w:rFonts w:eastAsia="Times New Roman"/>
                <w:b/>
                <w:color w:val="000000"/>
                <w:kern w:val="0"/>
                <w:lang w:val="el-GR" w:eastAsia="el-GR" w:bidi="ar-SA"/>
              </w:rPr>
              <w:t xml:space="preserve">External cost </w:t>
            </w:r>
            <w:r>
              <w:rPr>
                <w:rFonts w:eastAsia="Times New Roman"/>
                <w:b/>
                <w:color w:val="000000"/>
                <w:kern w:val="0"/>
                <w:vertAlign w:val="superscript"/>
                <w:lang w:val="el-GR" w:eastAsia="el-GR" w:bidi="ar-SA"/>
              </w:rPr>
              <w:t>(5)</w:t>
            </w:r>
          </w:p>
          <w:p>
            <w:pPr>
              <w:pStyle w:val="Normal"/>
              <w:widowControl/>
              <w:spacing w:lineRule="auto" w:line="240" w:before="80" w:after="0"/>
              <w:rPr>
                <w:rFonts w:eastAsia="Times New Roman"/>
                <w:b/>
                <w:color w:val="000000"/>
                <w:lang w:val="el-GR" w:eastAsia="el-GR"/>
              </w:rPr>
            </w:pPr>
            <w:r>
              <w:rPr>
                <w:rFonts w:eastAsia="Times New Roman"/>
                <w:b/>
                <w:color w:val="000000"/>
                <w:kern w:val="0"/>
                <w:lang w:val="el-GR" w:eastAsia="el-GR" w:bidi="ar-SA"/>
              </w:rPr>
              <w:t>per km</w:t>
            </w:r>
          </w:p>
        </w:tc>
        <w:tc>
          <w:tcPr>
            <w:tcW w:w="2267" w:type="dxa"/>
            <w:vMerge w:val="restart"/>
            <w:tcBorders/>
          </w:tcPr>
          <w:p>
            <w:pPr>
              <w:pStyle w:val="Normal"/>
              <w:widowControl/>
              <w:spacing w:lineRule="auto" w:line="240" w:before="80" w:after="0"/>
              <w:rPr>
                <w:rFonts w:eastAsia="Times New Roman"/>
                <w:b/>
                <w:color w:val="000000"/>
                <w:lang w:eastAsia="el-GR"/>
              </w:rPr>
            </w:pPr>
            <w:r>
              <w:rPr>
                <w:rFonts w:eastAsia="Times New Roman"/>
                <w:b/>
                <w:color w:val="000000"/>
                <w:kern w:val="0"/>
                <w:lang w:eastAsia="el-GR" w:bidi="ar-SA"/>
              </w:rPr>
              <w:t xml:space="preserve">CO2 emissions </w:t>
            </w:r>
            <w:r>
              <w:rPr>
                <w:rFonts w:eastAsia="Times New Roman"/>
                <w:b/>
                <w:color w:val="000000"/>
                <w:kern w:val="0"/>
                <w:vertAlign w:val="superscript"/>
                <w:lang w:eastAsia="el-GR" w:bidi="ar-SA"/>
              </w:rPr>
              <w:t>(6)</w:t>
            </w:r>
          </w:p>
          <w:p>
            <w:pPr>
              <w:pStyle w:val="Normal"/>
              <w:widowControl/>
              <w:spacing w:lineRule="auto" w:line="240" w:before="80" w:after="0"/>
              <w:rPr>
                <w:rFonts w:eastAsia="Times New Roman"/>
                <w:b/>
                <w:color w:val="000000"/>
                <w:lang w:eastAsia="el-GR"/>
              </w:rPr>
            </w:pPr>
            <w:r>
              <w:rPr>
                <w:rFonts w:eastAsia="Times New Roman"/>
                <w:b/>
                <w:color w:val="000000"/>
                <w:kern w:val="0"/>
                <w:lang w:eastAsia="el-GR" w:bidi="ar-SA"/>
              </w:rPr>
              <w:t>gr per km</w:t>
            </w:r>
          </w:p>
        </w:tc>
        <w:tc>
          <w:tcPr>
            <w:tcW w:w="1943" w:type="dxa"/>
            <w:tcBorders/>
          </w:tcPr>
          <w:p>
            <w:pPr>
              <w:pStyle w:val="Normal"/>
              <w:widowControl/>
              <w:spacing w:lineRule="auto" w:line="240" w:before="80" w:after="0"/>
              <w:rPr>
                <w:rFonts w:eastAsia="Times New Roman"/>
                <w:b/>
                <w:color w:val="000000"/>
                <w:lang w:eastAsia="el-GR"/>
              </w:rPr>
            </w:pPr>
            <w:r>
              <w:rPr>
                <w:rFonts w:eastAsia="Times New Roman"/>
                <w:b/>
                <w:color w:val="000000"/>
                <w:kern w:val="0"/>
                <w:lang w:eastAsia="el-GR" w:bidi="ar-SA"/>
              </w:rPr>
            </w:r>
          </w:p>
        </w:tc>
      </w:tr>
      <w:tr>
        <w:trPr>
          <w:trHeight w:val="368" w:hRule="atLeast"/>
        </w:trPr>
        <w:tc>
          <w:tcPr>
            <w:tcW w:w="1975" w:type="dxa"/>
            <w:vMerge w:val="continue"/>
            <w:tcBorders/>
          </w:tcPr>
          <w:p>
            <w:pPr>
              <w:pStyle w:val="Normal"/>
              <w:widowControl/>
              <w:spacing w:lineRule="auto" w:line="240" w:before="80" w:after="0"/>
              <w:rPr>
                <w:rFonts w:eastAsia="Times New Roman"/>
                <w:b/>
                <w:color w:val="000000"/>
                <w:lang w:eastAsia="el-GR"/>
              </w:rPr>
            </w:pPr>
            <w:r>
              <w:rPr>
                <w:rFonts w:eastAsia="Times New Roman"/>
                <w:b/>
                <w:color w:val="000000"/>
                <w:kern w:val="0"/>
                <w:lang w:eastAsia="el-GR" w:bidi="ar-SA"/>
              </w:rPr>
            </w:r>
          </w:p>
        </w:tc>
        <w:tc>
          <w:tcPr>
            <w:tcW w:w="2835" w:type="dxa"/>
            <w:vMerge w:val="continue"/>
            <w:tcBorders/>
          </w:tcPr>
          <w:p>
            <w:pPr>
              <w:pStyle w:val="Normal"/>
              <w:widowControl/>
              <w:spacing w:lineRule="auto" w:line="240" w:before="80" w:after="0"/>
              <w:rPr>
                <w:rFonts w:eastAsia="Times New Roman"/>
                <w:b/>
                <w:color w:val="000000"/>
                <w:lang w:eastAsia="el-GR"/>
              </w:rPr>
            </w:pPr>
            <w:r>
              <w:rPr>
                <w:rFonts w:eastAsia="Times New Roman"/>
                <w:b/>
                <w:color w:val="000000"/>
                <w:kern w:val="0"/>
                <w:lang w:eastAsia="el-GR" w:bidi="ar-SA"/>
              </w:rPr>
            </w:r>
          </w:p>
        </w:tc>
        <w:tc>
          <w:tcPr>
            <w:tcW w:w="2267" w:type="dxa"/>
            <w:vMerge w:val="continue"/>
            <w:tcBorders/>
          </w:tcPr>
          <w:p>
            <w:pPr>
              <w:pStyle w:val="Normal"/>
              <w:widowControl/>
              <w:spacing w:lineRule="auto" w:line="240" w:before="80" w:after="0"/>
              <w:rPr>
                <w:rFonts w:eastAsia="Times New Roman"/>
                <w:b/>
                <w:color w:val="000000"/>
                <w:lang w:eastAsia="el-GR"/>
              </w:rPr>
            </w:pPr>
            <w:r>
              <w:rPr>
                <w:rFonts w:eastAsia="Times New Roman"/>
                <w:b/>
                <w:color w:val="000000"/>
                <w:kern w:val="0"/>
                <w:lang w:eastAsia="el-GR" w:bidi="ar-SA"/>
              </w:rPr>
            </w:r>
          </w:p>
        </w:tc>
        <w:tc>
          <w:tcPr>
            <w:tcW w:w="1943" w:type="dxa"/>
            <w:tcBorders/>
          </w:tcPr>
          <w:p>
            <w:pPr>
              <w:pStyle w:val="Normal"/>
              <w:widowControl/>
              <w:spacing w:lineRule="auto" w:line="240" w:before="80" w:after="0"/>
              <w:rPr>
                <w:rFonts w:eastAsia="Times New Roman"/>
                <w:b/>
                <w:color w:val="000000"/>
                <w:lang w:val="el-GR" w:eastAsia="el-GR"/>
              </w:rPr>
            </w:pPr>
            <w:r>
              <w:rPr>
                <w:rFonts w:eastAsia="Times New Roman"/>
                <w:b/>
                <w:color w:val="000000"/>
                <w:kern w:val="0"/>
                <w:lang w:val="el-GR" w:eastAsia="el-GR" w:bidi="ar-SA"/>
              </w:rPr>
              <w:t>Ckal consumed per km</w:t>
            </w:r>
          </w:p>
        </w:tc>
      </w:tr>
      <w:tr>
        <w:trPr>
          <w:trHeight w:val="300" w:hRule="atLeast"/>
        </w:trPr>
        <w:tc>
          <w:tcPr>
            <w:tcW w:w="1975"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Car</w:t>
            </w:r>
          </w:p>
        </w:tc>
        <w:tc>
          <w:tcPr>
            <w:tcW w:w="2835"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0,18 </w:t>
            </w:r>
          </w:p>
        </w:tc>
        <w:tc>
          <w:tcPr>
            <w:tcW w:w="2267" w:type="dxa"/>
            <w:tcBorders/>
          </w:tcPr>
          <w:p>
            <w:pPr>
              <w:pStyle w:val="Normal"/>
              <w:widowControl/>
              <w:spacing w:lineRule="auto" w:line="240" w:before="80" w:after="0"/>
              <w:jc w:val="end"/>
              <w:rPr>
                <w:rFonts w:eastAsia="Times New Roman"/>
                <w:color w:val="12501A"/>
                <w:lang w:eastAsia="el-GR"/>
              </w:rPr>
            </w:pPr>
            <w:r>
              <w:rPr>
                <w:rFonts w:eastAsia="Times New Roman"/>
                <w:color w:val="12501A"/>
                <w:kern w:val="0"/>
                <w:lang w:eastAsia="el-GR" w:bidi="ar-SA"/>
              </w:rPr>
              <w:t>130</w:t>
            </w:r>
          </w:p>
        </w:tc>
        <w:tc>
          <w:tcPr>
            <w:tcW w:w="1943" w:type="dxa"/>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0</w:t>
            </w:r>
          </w:p>
        </w:tc>
      </w:tr>
      <w:tr>
        <w:trPr>
          <w:trHeight w:val="300" w:hRule="atLeast"/>
        </w:trPr>
        <w:tc>
          <w:tcPr>
            <w:tcW w:w="1975"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Bus</w:t>
            </w:r>
          </w:p>
        </w:tc>
        <w:tc>
          <w:tcPr>
            <w:tcW w:w="2835"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0,02 </w:t>
            </w:r>
          </w:p>
        </w:tc>
        <w:tc>
          <w:tcPr>
            <w:tcW w:w="2267" w:type="dxa"/>
            <w:tcBorders/>
          </w:tcPr>
          <w:p>
            <w:pPr>
              <w:pStyle w:val="Normal"/>
              <w:widowControl/>
              <w:spacing w:lineRule="auto" w:line="240" w:before="80" w:after="0"/>
              <w:jc w:val="end"/>
              <w:rPr>
                <w:rFonts w:eastAsia="Times New Roman"/>
                <w:color w:val="12501A"/>
                <w:lang w:eastAsia="el-GR"/>
              </w:rPr>
            </w:pPr>
            <w:r>
              <w:rPr>
                <w:rFonts w:eastAsia="Times New Roman"/>
                <w:color w:val="12501A"/>
                <w:kern w:val="0"/>
                <w:lang w:eastAsia="el-GR" w:bidi="ar-SA"/>
              </w:rPr>
              <w:t>60</w:t>
            </w:r>
          </w:p>
        </w:tc>
        <w:tc>
          <w:tcPr>
            <w:tcW w:w="1943" w:type="dxa"/>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0</w:t>
            </w:r>
          </w:p>
        </w:tc>
      </w:tr>
      <w:tr>
        <w:trPr>
          <w:trHeight w:val="300" w:hRule="atLeast"/>
        </w:trPr>
        <w:tc>
          <w:tcPr>
            <w:tcW w:w="1975"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Metro</w:t>
            </w:r>
          </w:p>
        </w:tc>
        <w:tc>
          <w:tcPr>
            <w:tcW w:w="2835"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2267" w:type="dxa"/>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0</w:t>
            </w:r>
          </w:p>
        </w:tc>
        <w:tc>
          <w:tcPr>
            <w:tcW w:w="1943" w:type="dxa"/>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0</w:t>
            </w:r>
          </w:p>
        </w:tc>
      </w:tr>
      <w:tr>
        <w:trPr>
          <w:trHeight w:val="480" w:hRule="atLeast"/>
        </w:trPr>
        <w:tc>
          <w:tcPr>
            <w:tcW w:w="1975" w:type="dxa"/>
            <w:vMerge w:val="restart"/>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shared micromobility (e-scooter, e-bike) </w:t>
            </w:r>
          </w:p>
        </w:tc>
        <w:tc>
          <w:tcPr>
            <w:tcW w:w="2835" w:type="dxa"/>
            <w:vMerge w:val="restart"/>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2267" w:type="dxa"/>
            <w:vMerge w:val="restart"/>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0</w:t>
            </w:r>
          </w:p>
        </w:tc>
        <w:tc>
          <w:tcPr>
            <w:tcW w:w="1943" w:type="dxa"/>
            <w:vMerge w:val="restart"/>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0</w:t>
            </w:r>
          </w:p>
        </w:tc>
      </w:tr>
      <w:tr>
        <w:trPr>
          <w:trHeight w:val="471" w:hRule="atLeast"/>
        </w:trPr>
        <w:tc>
          <w:tcPr>
            <w:tcW w:w="1975" w:type="dxa"/>
            <w:vMerge w:val="continue"/>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r>
          </w:p>
        </w:tc>
        <w:tc>
          <w:tcPr>
            <w:tcW w:w="2835" w:type="dxa"/>
            <w:vMerge w:val="continue"/>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r>
          </w:p>
        </w:tc>
        <w:tc>
          <w:tcPr>
            <w:tcW w:w="2267" w:type="dxa"/>
            <w:vMerge w:val="continue"/>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r>
          </w:p>
        </w:tc>
        <w:tc>
          <w:tcPr>
            <w:tcW w:w="1943" w:type="dxa"/>
            <w:vMerge w:val="continue"/>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r>
          </w:p>
        </w:tc>
      </w:tr>
      <w:tr>
        <w:trPr>
          <w:trHeight w:val="300" w:hRule="atLeast"/>
        </w:trPr>
        <w:tc>
          <w:tcPr>
            <w:tcW w:w="1975"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own bike</w:t>
            </w:r>
          </w:p>
        </w:tc>
        <w:tc>
          <w:tcPr>
            <w:tcW w:w="2835"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2267" w:type="dxa"/>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0</w:t>
            </w:r>
          </w:p>
        </w:tc>
        <w:tc>
          <w:tcPr>
            <w:tcW w:w="1943" w:type="dxa"/>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25</w:t>
            </w:r>
          </w:p>
        </w:tc>
      </w:tr>
      <w:tr>
        <w:trPr>
          <w:trHeight w:val="315" w:hRule="atLeast"/>
        </w:trPr>
        <w:tc>
          <w:tcPr>
            <w:tcW w:w="1975" w:type="dxa"/>
            <w:tcBorders/>
          </w:tcPr>
          <w:p>
            <w:pPr>
              <w:pStyle w:val="Normal"/>
              <w:widowControl/>
              <w:spacing w:lineRule="auto" w:line="240" w:before="80" w:after="0"/>
              <w:rPr>
                <w:rFonts w:eastAsia="Times New Roman"/>
                <w:color w:val="000000"/>
                <w:lang w:val="el-GR" w:eastAsia="el-GR"/>
              </w:rPr>
            </w:pPr>
            <w:r>
              <w:rPr>
                <w:rFonts w:eastAsia="Times New Roman"/>
                <w:color w:val="000000"/>
                <w:kern w:val="0"/>
                <w:lang w:val="el-GR" w:eastAsia="el-GR" w:bidi="ar-SA"/>
              </w:rPr>
              <w:t>Pedestrian</w:t>
            </w:r>
          </w:p>
        </w:tc>
        <w:tc>
          <w:tcPr>
            <w:tcW w:w="2835" w:type="dxa"/>
            <w:tcBorders/>
          </w:tcPr>
          <w:p>
            <w:pPr>
              <w:pStyle w:val="Normal"/>
              <w:widowControl/>
              <w:spacing w:lineRule="auto" w:line="240" w:before="80" w:after="0"/>
              <w:rPr>
                <w:rFonts w:eastAsia="Times New Roman"/>
                <w:color w:val="000000"/>
                <w:lang w:eastAsia="el-GR"/>
              </w:rPr>
            </w:pPr>
            <w:r>
              <w:rPr>
                <w:rFonts w:eastAsia="Times New Roman"/>
                <w:color w:val="000000"/>
                <w:kern w:val="0"/>
                <w:lang w:eastAsia="el-GR" w:bidi="ar-SA"/>
              </w:rPr>
              <w:t xml:space="preserve"> €                           </w:t>
            </w:r>
            <w:r>
              <w:rPr>
                <w:rFonts w:eastAsia="Times New Roman"/>
                <w:color w:val="000000"/>
                <w:kern w:val="0"/>
                <w:lang w:eastAsia="el-GR" w:bidi="ar-SA"/>
              </w:rPr>
              <w:t xml:space="preserve">-   </w:t>
            </w:r>
          </w:p>
        </w:tc>
        <w:tc>
          <w:tcPr>
            <w:tcW w:w="2267" w:type="dxa"/>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0</w:t>
            </w:r>
          </w:p>
        </w:tc>
        <w:tc>
          <w:tcPr>
            <w:tcW w:w="1943" w:type="dxa"/>
            <w:tcBorders/>
          </w:tcPr>
          <w:p>
            <w:pPr>
              <w:pStyle w:val="Normal"/>
              <w:widowControl/>
              <w:spacing w:lineRule="auto" w:line="240" w:before="80" w:after="0"/>
              <w:jc w:val="end"/>
              <w:rPr>
                <w:rFonts w:eastAsia="Times New Roman"/>
                <w:color w:val="000000"/>
                <w:lang w:eastAsia="el-GR"/>
              </w:rPr>
            </w:pPr>
            <w:r>
              <w:rPr>
                <w:rFonts w:eastAsia="Times New Roman"/>
                <w:color w:val="000000"/>
                <w:kern w:val="0"/>
                <w:lang w:eastAsia="el-GR" w:bidi="ar-SA"/>
              </w:rPr>
              <w:t>70</w:t>
            </w:r>
          </w:p>
        </w:tc>
      </w:tr>
    </w:tbl>
    <w:p>
      <w:pPr>
        <w:pStyle w:val="Normal"/>
        <w:spacing w:lineRule="auto" w:line="240"/>
        <w:rPr>
          <w:rFonts w:eastAsia="Aptos"/>
          <w:kern w:val="0"/>
          <w:sz w:val="16"/>
          <w:szCs w:val="16"/>
          <w14:ligatures w14:val="none"/>
        </w:rPr>
      </w:pPr>
      <w:r>
        <w:rPr>
          <w:rFonts w:eastAsia="Aptos"/>
          <w:kern w:val="0"/>
          <w:sz w:val="16"/>
          <w:szCs w:val="16"/>
          <w14:ligatures w14:val="none"/>
        </w:rPr>
      </w:r>
    </w:p>
    <w:p>
      <w:pPr>
        <w:pStyle w:val="Normal"/>
        <w:spacing w:lineRule="auto" w:line="240"/>
        <w:rPr>
          <w:rFonts w:eastAsia="Aptos"/>
          <w:kern w:val="0"/>
          <w:sz w:val="16"/>
          <w:szCs w:val="16"/>
          <w14:ligatures w14:val="none"/>
        </w:rPr>
      </w:pPr>
      <w:r>
        <w:rPr>
          <w:rFonts w:eastAsia="Aptos"/>
          <w:kern w:val="0"/>
          <w:sz w:val="16"/>
          <w:szCs w:val="16"/>
          <w14:ligatures w14:val="none"/>
        </w:rPr>
        <w:t xml:space="preserve">(5) </w:t>
      </w:r>
    </w:p>
    <w:tbl>
      <w:tblPr>
        <w:tblW w:w="864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8640"/>
      </w:tblGrid>
      <w:tr>
        <w:trPr>
          <w:trHeight w:val="315" w:hRule="atLeast"/>
        </w:trPr>
        <w:tc>
          <w:tcPr>
            <w:tcW w:w="8640" w:type="dxa"/>
            <w:tcBorders/>
            <w:vAlign w:val="center"/>
          </w:tcPr>
          <w:p>
            <w:pPr>
              <w:pStyle w:val="Normal"/>
              <w:numPr>
                <w:ilvl w:val="0"/>
                <w:numId w:val="9"/>
              </w:numPr>
              <w:spacing w:lineRule="auto" w:line="240" w:before="80" w:after="0"/>
              <w:contextualSpacing/>
              <w:rPr>
                <w:rFonts w:eastAsia="Times New Roman"/>
                <w:color w:val="000000"/>
                <w:kern w:val="0"/>
                <w:sz w:val="16"/>
                <w:szCs w:val="16"/>
                <w:lang w:eastAsia="el-GR"/>
                <w14:ligatures w14:val="none"/>
              </w:rPr>
            </w:pPr>
            <w:r>
              <w:rPr>
                <w:rFonts w:eastAsia="Times New Roman"/>
                <w:color w:val="000000"/>
                <w:kern w:val="0"/>
                <w:sz w:val="16"/>
                <w:szCs w:val="16"/>
                <w:lang w:eastAsia="el-GR"/>
                <w14:ligatures w14:val="none"/>
              </w:rPr>
              <w:t xml:space="preserve">European Commission, “Handbook on External Costs of Transport” (2019) – Average external costs </w:t>
            </w:r>
          </w:p>
        </w:tc>
      </w:tr>
      <w:tr>
        <w:trPr>
          <w:trHeight w:val="300" w:hRule="atLeast"/>
        </w:trPr>
        <w:tc>
          <w:tcPr>
            <w:tcW w:w="8640" w:type="dxa"/>
            <w:tcBorders/>
            <w:vAlign w:val="center"/>
          </w:tcPr>
          <w:p>
            <w:pPr>
              <w:pStyle w:val="Normal"/>
              <w:numPr>
                <w:ilvl w:val="0"/>
                <w:numId w:val="9"/>
              </w:numPr>
              <w:spacing w:lineRule="auto" w:line="240" w:before="80" w:after="0"/>
              <w:contextualSpacing/>
              <w:rPr>
                <w:rFonts w:eastAsia="Times New Roman"/>
                <w:color w:val="467886"/>
                <w:kern w:val="0"/>
                <w:sz w:val="16"/>
                <w:szCs w:val="16"/>
                <w:u w:val="single"/>
                <w:lang w:eastAsia="el-GR"/>
                <w14:ligatures w14:val="none"/>
              </w:rPr>
            </w:pPr>
            <w:hyperlink r:id="rId15">
              <w:r>
                <w:rPr>
                  <w:rStyle w:val="Style"/>
                  <w:rFonts w:eastAsia="Times New Roman"/>
                  <w:color w:val="467886"/>
                  <w:kern w:val="0"/>
                  <w:sz w:val="16"/>
                  <w:szCs w:val="16"/>
                  <w:u w:val="single"/>
                  <w:lang w:eastAsia="el-GR"/>
                  <w14:ligatures w14:val="none"/>
                </w:rPr>
                <w:t>https://www.infras.ch/media/filer_public/fc/31/fc316665-e114-4514-bbca-ede593d2290f/ce_delft_4k83_task_d_summary_report.pdf</w:t>
              </w:r>
            </w:hyperlink>
          </w:p>
        </w:tc>
      </w:tr>
    </w:tbl>
    <w:p>
      <w:pPr>
        <w:pStyle w:val="Normal"/>
        <w:spacing w:lineRule="auto" w:line="240"/>
        <w:rPr>
          <w:rFonts w:eastAsia="Aptos"/>
          <w:kern w:val="0"/>
          <w:sz w:val="16"/>
          <w:szCs w:val="16"/>
          <w14:ligatures w14:val="none"/>
        </w:rPr>
      </w:pPr>
      <w:r>
        <w:rPr>
          <w:rFonts w:eastAsia="Aptos"/>
          <w:kern w:val="0"/>
          <w:sz w:val="16"/>
          <w:szCs w:val="16"/>
          <w14:ligatures w14:val="none"/>
        </w:rPr>
        <w:t>(6)</w:t>
      </w:r>
    </w:p>
    <w:tbl>
      <w:tblPr>
        <w:tblW w:w="864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7134"/>
        <w:gridCol w:w="1506"/>
      </w:tblGrid>
      <w:tr>
        <w:trPr>
          <w:trHeight w:val="300" w:hRule="atLeast"/>
        </w:trPr>
        <w:tc>
          <w:tcPr>
            <w:tcW w:w="7134" w:type="dxa"/>
            <w:tcBorders/>
            <w:vAlign w:val="bottom"/>
          </w:tcPr>
          <w:p>
            <w:pPr>
              <w:pStyle w:val="Normal"/>
              <w:numPr>
                <w:ilvl w:val="0"/>
                <w:numId w:val="10"/>
              </w:numPr>
              <w:spacing w:lineRule="auto" w:line="240" w:before="80" w:after="0"/>
              <w:contextualSpacing/>
              <w:rPr>
                <w:rFonts w:eastAsia="Times New Roman"/>
                <w:color w:val="467886"/>
                <w:kern w:val="0"/>
                <w:sz w:val="16"/>
                <w:szCs w:val="16"/>
                <w:u w:val="single"/>
                <w:lang w:eastAsia="el-GR"/>
                <w14:ligatures w14:val="none"/>
              </w:rPr>
            </w:pPr>
            <w:hyperlink r:id="rId16">
              <w:r>
                <w:rPr>
                  <w:rStyle w:val="Style"/>
                  <w:rFonts w:eastAsia="Times New Roman"/>
                  <w:color w:val="467886"/>
                  <w:kern w:val="0"/>
                  <w:sz w:val="16"/>
                  <w:szCs w:val="16"/>
                  <w:u w:val="single"/>
                  <w:lang w:eastAsia="el-GR"/>
                  <w14:ligatures w14:val="none"/>
                </w:rPr>
                <w:t>https://theicct.org/sites/default/files/publications/Euro-VI-versus-6_ICCT_briefing_06012017.pdf?utm_source=chatgpt.com</w:t>
              </w:r>
            </w:hyperlink>
          </w:p>
        </w:tc>
        <w:tc>
          <w:tcPr>
            <w:tcW w:w="1506" w:type="dxa"/>
            <w:tcBorders/>
          </w:tcPr>
          <w:p>
            <w:pPr>
              <w:pStyle w:val="Normal"/>
              <w:spacing w:lineRule="atLeast" w:line="0" w:before="0" w:after="0"/>
              <w:rPr>
                <w:sz w:val="2"/>
              </w:rPr>
            </w:pPr>
            <w:r>
              <w:rPr>
                <w:sz w:val="2"/>
              </w:rPr>
            </w:r>
          </w:p>
        </w:tc>
      </w:tr>
      <w:tr>
        <w:trPr>
          <w:trHeight w:val="300" w:hRule="atLeast"/>
        </w:trPr>
        <w:tc>
          <w:tcPr>
            <w:tcW w:w="7134" w:type="dxa"/>
            <w:tcBorders/>
            <w:vAlign w:val="bottom"/>
          </w:tcPr>
          <w:p>
            <w:pPr>
              <w:pStyle w:val="Normal"/>
              <w:numPr>
                <w:ilvl w:val="0"/>
                <w:numId w:val="10"/>
              </w:numPr>
              <w:spacing w:lineRule="auto" w:line="240" w:before="80" w:after="0"/>
              <w:contextualSpacing/>
              <w:rPr>
                <w:rFonts w:eastAsia="Times New Roman"/>
                <w:color w:val="467886"/>
                <w:kern w:val="0"/>
                <w:sz w:val="16"/>
                <w:szCs w:val="16"/>
                <w:u w:val="single"/>
                <w:lang w:eastAsia="el-GR"/>
                <w14:ligatures w14:val="none"/>
              </w:rPr>
            </w:pPr>
            <w:hyperlink r:id="rId17">
              <w:r>
                <w:rPr>
                  <w:rStyle w:val="Style"/>
                  <w:rFonts w:eastAsia="Times New Roman"/>
                  <w:color w:val="467886"/>
                  <w:kern w:val="0"/>
                  <w:sz w:val="16"/>
                  <w:szCs w:val="16"/>
                  <w:u w:val="single"/>
                  <w:lang w:eastAsia="el-GR"/>
                  <w14:ligatures w14:val="none"/>
                </w:rPr>
                <w:t>https://www.carandmotor.gr/nea/ayxithikan-oi-meses-ekpompes-co2-stin-ellada</w:t>
              </w:r>
            </w:hyperlink>
          </w:p>
        </w:tc>
        <w:tc>
          <w:tcPr>
            <w:tcW w:w="1506" w:type="dxa"/>
            <w:tcBorders/>
          </w:tcPr>
          <w:p>
            <w:pPr>
              <w:pStyle w:val="Normal"/>
              <w:spacing w:lineRule="atLeast" w:line="0" w:before="0" w:after="0"/>
              <w:rPr>
                <w:sz w:val="2"/>
              </w:rPr>
            </w:pPr>
            <w:r>
              <w:rPr>
                <w:sz w:val="2"/>
              </w:rPr>
            </w:r>
          </w:p>
        </w:tc>
      </w:tr>
      <w:tr>
        <w:trPr>
          <w:trHeight w:val="300" w:hRule="atLeast"/>
        </w:trPr>
        <w:tc>
          <w:tcPr>
            <w:tcW w:w="8640" w:type="dxa"/>
            <w:gridSpan w:val="2"/>
            <w:tcBorders/>
            <w:vAlign w:val="bottom"/>
          </w:tcPr>
          <w:p>
            <w:pPr>
              <w:pStyle w:val="Normal"/>
              <w:spacing w:lineRule="auto" w:line="240" w:before="80" w:after="0"/>
              <w:rPr>
                <w:rFonts w:eastAsia="Times New Roman"/>
                <w:color w:val="000000"/>
                <w:kern w:val="0"/>
                <w:lang w:eastAsia="el-GR"/>
                <w14:ligatures w14:val="none"/>
              </w:rPr>
            </w:pPr>
            <w:r>
              <w:rPr>
                <w:rFonts w:eastAsia="Times New Roman"/>
                <w:color w:val="000000"/>
                <w:kern w:val="0"/>
                <w:lang w:eastAsia="el-GR"/>
                <w14:ligatures w14:val="none"/>
              </w:rPr>
            </w:r>
          </w:p>
          <w:p>
            <w:pPr>
              <w:pStyle w:val="Normal"/>
              <w:spacing w:lineRule="auto" w:line="240" w:before="80" w:after="0"/>
              <w:rPr>
                <w:rFonts w:eastAsia="Times New Roman"/>
                <w:color w:val="000000"/>
                <w:kern w:val="0"/>
                <w:lang w:val="en-US" w:eastAsia="el-GR"/>
                <w14:ligatures w14:val="none"/>
              </w:rPr>
            </w:pPr>
            <w:r>
              <w:rPr>
                <w:rFonts w:eastAsia="Times New Roman"/>
                <w:color w:val="000000"/>
                <w:kern w:val="0"/>
                <w:lang w:val="en-US" w:eastAsia="el-GR"/>
                <w14:ligatures w14:val="none"/>
              </w:rPr>
              <w:t xml:space="preserve">For each cost criterion, values derive from statistics or research. In most cases the values are sensitive to local (Greek or Thessaloniks’ in some cases) reality and socio-economic characteristics. For example, the perceived value of time derives from recent study for the deployment of Metro in Thessaloniki.  </w:t>
            </w:r>
          </w:p>
          <w:p>
            <w:pPr>
              <w:pStyle w:val="Normal"/>
              <w:spacing w:lineRule="auto" w:line="240" w:before="80" w:after="0"/>
              <w:rPr>
                <w:rFonts w:eastAsia="Times New Roman"/>
                <w:color w:val="000000"/>
                <w:kern w:val="0"/>
                <w:lang w:eastAsia="el-GR"/>
                <w14:ligatures w14:val="none"/>
              </w:rPr>
            </w:pPr>
            <w:r>
              <w:rPr>
                <w:rFonts w:eastAsia="Times New Roman"/>
                <w:color w:val="000000"/>
                <w:kern w:val="0"/>
                <w:lang w:eastAsia="el-GR"/>
                <w14:ligatures w14:val="none"/>
              </w:rPr>
              <w:t>However, there are other values that derive from European statistics.</w:t>
            </w:r>
          </w:p>
          <w:p>
            <w:pPr>
              <w:pStyle w:val="Normal"/>
              <w:spacing w:lineRule="auto" w:line="240" w:before="80" w:after="0"/>
              <w:rPr>
                <w:rFonts w:eastAsia="Times New Roman"/>
                <w:b/>
                <w:color w:val="000000"/>
                <w:kern w:val="0"/>
                <w:lang w:val="en-US" w:eastAsia="el-GR"/>
                <w14:ligatures w14:val="none"/>
              </w:rPr>
            </w:pPr>
            <w:r>
              <w:rPr>
                <w:rFonts w:eastAsia="Times New Roman"/>
                <w:b/>
                <w:color w:val="000000"/>
                <w:kern w:val="0"/>
                <w:lang w:val="en-US" w:eastAsia="el-GR"/>
                <w14:ligatures w14:val="none"/>
              </w:rPr>
              <w:t xml:space="preserve">The overall conclusion, is that the replication of the trip planner to another City may require adaptation a well as timely update, of those values. </w:t>
            </w:r>
          </w:p>
          <w:p>
            <w:pPr>
              <w:pStyle w:val="Normal"/>
              <w:spacing w:lineRule="auto" w:line="240" w:before="80" w:after="0"/>
              <w:rPr>
                <w:rFonts w:eastAsia="Times New Roman"/>
                <w:color w:val="000000"/>
                <w:kern w:val="0"/>
                <w:lang w:eastAsia="el-GR"/>
                <w14:ligatures w14:val="none"/>
              </w:rPr>
            </w:pPr>
            <w:r>
              <w:rPr>
                <w:rFonts w:eastAsia="Times New Roman"/>
                <w:color w:val="000000"/>
                <w:kern w:val="0"/>
                <w:lang w:eastAsia="el-GR"/>
                <w14:ligatures w14:val="none"/>
              </w:rPr>
            </w:r>
          </w:p>
        </w:tc>
      </w:tr>
      <w:tr>
        <w:trPr>
          <w:trHeight w:val="300" w:hRule="atLeast"/>
        </w:trPr>
        <w:tc>
          <w:tcPr>
            <w:tcW w:w="8640" w:type="dxa"/>
            <w:gridSpan w:val="2"/>
            <w:tcBorders/>
          </w:tcPr>
          <w:p>
            <w:pPr>
              <w:pStyle w:val="Normal"/>
              <w:spacing w:lineRule="auto" w:line="240" w:before="80" w:after="0"/>
              <w:rPr>
                <w:rFonts w:eastAsia="Aptos"/>
                <w:kern w:val="0"/>
                <w14:ligatures w14:val="none"/>
              </w:rPr>
            </w:pPr>
            <w:r>
              <w:rPr>
                <w:rFonts w:eastAsia="Aptos"/>
                <w:kern w:val="0"/>
                <w14:ligatures w14:val="none"/>
              </w:rPr>
              <w:t>For each alternative itinerary produced, the following information is then calculated and finally provided to the end user:</w:t>
            </w:r>
          </w:p>
          <w:p>
            <w:pPr>
              <w:pStyle w:val="Normal"/>
              <w:spacing w:lineRule="auto" w:line="240" w:before="80" w:after="0"/>
              <w:rPr>
                <w:rFonts w:eastAsia="Aptos"/>
                <w:kern w:val="0"/>
                <w14:ligatures w14:val="none"/>
              </w:rPr>
            </w:pPr>
            <w:r>
              <w:rPr>
                <w:rFonts w:eastAsia="Aptos"/>
                <w:kern w:val="0"/>
                <w14:ligatures w14:val="none"/>
              </w:rPr>
            </w:r>
          </w:p>
          <w:p>
            <w:pPr>
              <w:pStyle w:val="Normal"/>
              <w:spacing w:lineRule="auto" w:line="240" w:before="80" w:after="0"/>
              <w:rPr>
                <w:rFonts w:eastAsia="Times New Roman"/>
                <w:color w:val="000000"/>
                <w:kern w:val="0"/>
                <w:lang w:eastAsia="el-GR"/>
                <w14:ligatures w14:val="none"/>
              </w:rPr>
            </w:pPr>
            <w:r>
              <w:rPr>
                <w:rFonts w:eastAsia="Times New Roman"/>
                <w:color w:val="000000"/>
                <w:kern w:val="0"/>
                <w:lang w:eastAsia="el-GR"/>
                <w14:ligatures w14:val="none"/>
              </w:rPr>
            </w:r>
          </w:p>
        </w:tc>
      </w:tr>
      <w:tr>
        <w:trPr>
          <w:trHeight w:val="300" w:hRule="atLeast"/>
        </w:trPr>
        <w:tc>
          <w:tcPr>
            <w:tcW w:w="8640" w:type="dxa"/>
            <w:gridSpan w:val="2"/>
            <w:tcBorders/>
          </w:tcPr>
          <w:p>
            <w:pPr>
              <w:pStyle w:val="Normal"/>
              <w:numPr>
                <w:ilvl w:val="0"/>
                <w:numId w:val="14"/>
              </w:numPr>
              <w:spacing w:lineRule="auto" w:line="276" w:before="80" w:after="0"/>
              <w:contextualSpacing/>
              <w:rPr>
                <w:rFonts w:eastAsia="Times New Roman"/>
                <w:color w:val="000000"/>
                <w:kern w:val="0"/>
                <w:lang w:eastAsia="el-GR"/>
                <w14:ligatures w14:val="none"/>
              </w:rPr>
            </w:pPr>
            <w:r>
              <w:rPr>
                <w:rFonts w:eastAsia="Aptos"/>
                <w:b/>
                <w:kern w:val="0"/>
                <w14:ligatures w14:val="none"/>
              </w:rPr>
              <w:t>Total Cost</w:t>
            </w:r>
            <w:r>
              <w:rPr>
                <w:rFonts w:eastAsia="Aptos"/>
                <w:kern w:val="0"/>
                <w14:ligatures w14:val="none"/>
              </w:rPr>
              <w:t>, which is calculated by using the following formula:</w:t>
            </w:r>
          </w:p>
        </w:tc>
      </w:tr>
      <w:tr>
        <w:trPr>
          <w:trHeight w:val="300" w:hRule="atLeast"/>
        </w:trPr>
        <w:tc>
          <w:tcPr>
            <w:tcW w:w="8640" w:type="dxa"/>
            <w:gridSpan w:val="2"/>
            <w:tcBorders/>
          </w:tcPr>
          <w:p>
            <w:pPr>
              <w:pStyle w:val="Normal"/>
              <w:spacing w:lineRule="auto" w:line="276" w:before="80" w:after="0"/>
              <w:ind w:start="720"/>
              <w:contextualSpacing/>
              <w:rPr>
                <w:rFonts w:eastAsia="Times New Roman"/>
                <w:color w:val="000000"/>
                <w:kern w:val="0"/>
                <w:lang w:val="en-US" w:eastAsia="el-GR"/>
                <w14:ligatures w14:val="none"/>
              </w:rPr>
            </w:pPr>
            <w:r>
              <w:rPr>
                <w:rFonts w:eastAsia="Aptos"/>
                <w:kern w:val="0"/>
                <w:lang w:val="en-US"/>
                <w14:ligatures w14:val="none"/>
              </w:rPr>
              <w:t xml:space="preserve">(Cost per km x kms estimated by routing) + (cost of unlocking a shared micromobility vehicle) + (Travel time  x cost of travel time) + (waiting time  x cost of waiting time) + (parking search time x cost of parking search time) + (external cost x kms estimated) </w:t>
            </w:r>
          </w:p>
        </w:tc>
      </w:tr>
      <w:tr>
        <w:trPr>
          <w:trHeight w:val="300" w:hRule="atLeast"/>
        </w:trPr>
        <w:tc>
          <w:tcPr>
            <w:tcW w:w="8640" w:type="dxa"/>
            <w:gridSpan w:val="2"/>
            <w:tcBorders/>
          </w:tcPr>
          <w:p>
            <w:pPr>
              <w:pStyle w:val="Normal"/>
              <w:numPr>
                <w:ilvl w:val="0"/>
                <w:numId w:val="14"/>
              </w:numPr>
              <w:spacing w:lineRule="auto" w:line="276" w:before="80" w:after="0"/>
              <w:contextualSpacing/>
              <w:rPr>
                <w:rFonts w:eastAsia="Times New Roman"/>
                <w:color w:val="000000"/>
                <w:kern w:val="0"/>
                <w:lang w:eastAsia="el-GR"/>
                <w14:ligatures w14:val="none"/>
              </w:rPr>
            </w:pPr>
            <w:r>
              <w:rPr>
                <w:rFonts w:eastAsia="Aptos"/>
                <w:kern w:val="0"/>
                <w14:ligatures w14:val="none"/>
              </w:rPr>
              <w:t xml:space="preserve">A </w:t>
            </w:r>
            <w:r>
              <w:rPr>
                <w:rFonts w:eastAsia="Aptos"/>
                <w:b/>
                <w:kern w:val="0"/>
                <w14:ligatures w14:val="none"/>
              </w:rPr>
              <w:t>break down explanation</w:t>
            </w:r>
            <w:r>
              <w:rPr>
                <w:rFonts w:eastAsia="Aptos"/>
                <w:kern w:val="0"/>
                <w14:ligatures w14:val="none"/>
              </w:rPr>
              <w:t xml:space="preserve"> of the costs involved: </w:t>
            </w:r>
          </w:p>
        </w:tc>
      </w:tr>
      <w:tr>
        <w:trPr>
          <w:trHeight w:val="300" w:hRule="atLeast"/>
        </w:trPr>
        <w:tc>
          <w:tcPr>
            <w:tcW w:w="8640" w:type="dxa"/>
            <w:gridSpan w:val="2"/>
            <w:tcBorders/>
          </w:tcPr>
          <w:p>
            <w:pPr>
              <w:pStyle w:val="Normal"/>
              <w:numPr>
                <w:ilvl w:val="1"/>
                <w:numId w:val="14"/>
              </w:numPr>
              <w:spacing w:lineRule="auto" w:line="276" w:before="80" w:after="0"/>
              <w:contextualSpacing/>
              <w:rPr>
                <w:rFonts w:eastAsia="Times New Roman"/>
                <w:color w:val="000000"/>
                <w:kern w:val="0"/>
                <w:lang w:eastAsia="el-GR"/>
                <w14:ligatures w14:val="none"/>
              </w:rPr>
            </w:pPr>
            <w:r>
              <w:rPr>
                <w:rFonts w:eastAsia="Aptos"/>
                <w:kern w:val="0"/>
                <w14:ligatures w14:val="none"/>
              </w:rPr>
              <w:t>Financial cost in €</w:t>
            </w:r>
          </w:p>
        </w:tc>
      </w:tr>
      <w:tr>
        <w:trPr>
          <w:trHeight w:val="300" w:hRule="atLeast"/>
        </w:trPr>
        <w:tc>
          <w:tcPr>
            <w:tcW w:w="8640" w:type="dxa"/>
            <w:gridSpan w:val="2"/>
            <w:tcBorders/>
          </w:tcPr>
          <w:p>
            <w:pPr>
              <w:pStyle w:val="Normal"/>
              <w:numPr>
                <w:ilvl w:val="1"/>
                <w:numId w:val="14"/>
              </w:numPr>
              <w:spacing w:lineRule="auto" w:line="276" w:before="80" w:after="0"/>
              <w:contextualSpacing/>
              <w:rPr>
                <w:rFonts w:eastAsia="Times New Roman"/>
                <w:color w:val="000000"/>
                <w:kern w:val="0"/>
                <w:lang w:eastAsia="el-GR"/>
                <w14:ligatures w14:val="none"/>
              </w:rPr>
            </w:pPr>
            <w:r>
              <w:rPr>
                <w:rFonts w:eastAsia="Aptos"/>
                <w:kern w:val="0"/>
                <w14:ligatures w14:val="none"/>
              </w:rPr>
              <w:t>Estimated cost of time in €</w:t>
            </w:r>
          </w:p>
        </w:tc>
      </w:tr>
      <w:tr>
        <w:trPr>
          <w:trHeight w:val="300" w:hRule="atLeast"/>
        </w:trPr>
        <w:tc>
          <w:tcPr>
            <w:tcW w:w="8640" w:type="dxa"/>
            <w:gridSpan w:val="2"/>
            <w:tcBorders/>
          </w:tcPr>
          <w:p>
            <w:pPr>
              <w:pStyle w:val="Normal"/>
              <w:numPr>
                <w:ilvl w:val="1"/>
                <w:numId w:val="14"/>
              </w:numPr>
              <w:spacing w:lineRule="auto" w:line="276" w:before="80" w:after="0"/>
              <w:contextualSpacing/>
              <w:rPr>
                <w:rFonts w:eastAsia="Times New Roman"/>
                <w:color w:val="000000"/>
                <w:kern w:val="0"/>
                <w:lang w:eastAsia="el-GR"/>
                <w14:ligatures w14:val="none"/>
              </w:rPr>
            </w:pPr>
            <w:r>
              <w:rPr>
                <w:rFonts w:eastAsia="Aptos"/>
                <w:kern w:val="0"/>
                <w14:ligatures w14:val="none"/>
              </w:rPr>
              <w:t xml:space="preserve">External cost in € </w:t>
            </w:r>
          </w:p>
        </w:tc>
      </w:tr>
      <w:tr>
        <w:trPr>
          <w:trHeight w:val="300" w:hRule="atLeast"/>
        </w:trPr>
        <w:tc>
          <w:tcPr>
            <w:tcW w:w="8640" w:type="dxa"/>
            <w:gridSpan w:val="2"/>
            <w:tcBorders/>
          </w:tcPr>
          <w:p>
            <w:pPr>
              <w:pStyle w:val="Normal"/>
              <w:numPr>
                <w:ilvl w:val="0"/>
                <w:numId w:val="14"/>
              </w:numPr>
              <w:spacing w:lineRule="auto" w:line="276" w:before="80" w:after="0"/>
              <w:contextualSpacing/>
              <w:rPr>
                <w:rFonts w:eastAsia="Times New Roman"/>
                <w:color w:val="000000"/>
                <w:kern w:val="0"/>
                <w:lang w:eastAsia="el-GR"/>
                <w14:ligatures w14:val="none"/>
              </w:rPr>
            </w:pPr>
            <w:r>
              <w:rPr>
                <w:rFonts w:eastAsia="Aptos"/>
                <w:b/>
                <w:kern w:val="0"/>
                <w14:ligatures w14:val="none"/>
              </w:rPr>
              <w:t>Trip information</w:t>
            </w:r>
            <w:r>
              <w:rPr>
                <w:rFonts w:eastAsia="Aptos"/>
                <w:kern w:val="0"/>
                <w14:ligatures w14:val="none"/>
              </w:rPr>
              <w:t>:</w:t>
            </w:r>
          </w:p>
        </w:tc>
      </w:tr>
      <w:tr>
        <w:trPr>
          <w:trHeight w:val="300" w:hRule="atLeast"/>
        </w:trPr>
        <w:tc>
          <w:tcPr>
            <w:tcW w:w="8640" w:type="dxa"/>
            <w:gridSpan w:val="2"/>
            <w:tcBorders/>
          </w:tcPr>
          <w:p>
            <w:pPr>
              <w:pStyle w:val="Normal"/>
              <w:numPr>
                <w:ilvl w:val="1"/>
                <w:numId w:val="14"/>
              </w:numPr>
              <w:spacing w:lineRule="auto" w:line="276" w:before="80" w:after="0"/>
              <w:contextualSpacing/>
              <w:rPr>
                <w:rFonts w:eastAsia="Times New Roman"/>
                <w:color w:val="000000"/>
                <w:kern w:val="0"/>
                <w:lang w:val="en-US" w:eastAsia="el-GR"/>
                <w14:ligatures w14:val="none"/>
              </w:rPr>
            </w:pPr>
            <w:r>
              <w:rPr>
                <w:rFonts w:eastAsia="Aptos"/>
                <w:kern w:val="0"/>
                <w:lang w:val="en-US"/>
                <w14:ligatures w14:val="none"/>
              </w:rPr>
              <w:t>Travel time and possibility of waiting time or seek parking time, in minutes.</w:t>
            </w:r>
          </w:p>
        </w:tc>
      </w:tr>
      <w:tr>
        <w:trPr>
          <w:trHeight w:val="300" w:hRule="atLeast"/>
        </w:trPr>
        <w:tc>
          <w:tcPr>
            <w:tcW w:w="8640" w:type="dxa"/>
            <w:gridSpan w:val="2"/>
            <w:tcBorders/>
          </w:tcPr>
          <w:p>
            <w:pPr>
              <w:pStyle w:val="Normal"/>
              <w:numPr>
                <w:ilvl w:val="1"/>
                <w:numId w:val="14"/>
              </w:numPr>
              <w:spacing w:lineRule="auto" w:line="276" w:before="80" w:after="0"/>
              <w:contextualSpacing/>
              <w:rPr>
                <w:rFonts w:eastAsia="Times New Roman"/>
                <w:color w:val="000000"/>
                <w:kern w:val="0"/>
                <w:lang w:eastAsia="el-GR"/>
                <w14:ligatures w14:val="none"/>
              </w:rPr>
            </w:pPr>
            <w:r>
              <w:rPr>
                <w:rFonts w:eastAsia="Aptos"/>
                <w:kern w:val="0"/>
                <w14:ligatures w14:val="none"/>
              </w:rPr>
              <w:t>CO2 emissions in gr = (kms estimated by routing x CO2 gr/km).</w:t>
            </w:r>
          </w:p>
        </w:tc>
      </w:tr>
      <w:tr>
        <w:trPr>
          <w:trHeight w:val="300" w:hRule="atLeast"/>
        </w:trPr>
        <w:tc>
          <w:tcPr>
            <w:tcW w:w="8640" w:type="dxa"/>
            <w:gridSpan w:val="2"/>
            <w:tcBorders/>
          </w:tcPr>
          <w:p>
            <w:pPr>
              <w:pStyle w:val="Normal"/>
              <w:numPr>
                <w:ilvl w:val="1"/>
                <w:numId w:val="14"/>
              </w:numPr>
              <w:spacing w:lineRule="auto" w:line="276" w:before="80" w:after="0"/>
              <w:contextualSpacing/>
              <w:rPr>
                <w:rFonts w:eastAsia="Times New Roman"/>
                <w:color w:val="000000"/>
                <w:kern w:val="0"/>
                <w:lang w:val="en-US" w:eastAsia="el-GR"/>
                <w14:ligatures w14:val="none"/>
              </w:rPr>
            </w:pPr>
            <w:r>
              <w:rPr>
                <w:rFonts w:eastAsia="Aptos"/>
                <w:kern w:val="0"/>
                <w:lang w:val="en-US"/>
                <w14:ligatures w14:val="none"/>
              </w:rPr>
              <w:t>KCAL consumed (always provided even if answer is 0).</w:t>
            </w:r>
          </w:p>
        </w:tc>
      </w:tr>
      <w:tr>
        <w:trPr>
          <w:trHeight w:val="300" w:hRule="atLeast"/>
        </w:trPr>
        <w:tc>
          <w:tcPr>
            <w:tcW w:w="8640" w:type="dxa"/>
            <w:gridSpan w:val="2"/>
            <w:tcBorders/>
          </w:tcPr>
          <w:p>
            <w:pPr>
              <w:pStyle w:val="Normal"/>
              <w:numPr>
                <w:ilvl w:val="0"/>
                <w:numId w:val="14"/>
              </w:numPr>
              <w:spacing w:lineRule="auto" w:line="276" w:before="80" w:after="0"/>
              <w:contextualSpacing/>
              <w:rPr>
                <w:rFonts w:eastAsia="Times New Roman"/>
                <w:color w:val="000000"/>
                <w:kern w:val="0"/>
                <w:lang w:val="en-US" w:eastAsia="el-GR"/>
                <w14:ligatures w14:val="none"/>
              </w:rPr>
            </w:pPr>
            <w:r>
              <w:rPr>
                <w:rFonts w:eastAsia="Aptos"/>
                <w:b/>
                <w:kern w:val="0"/>
                <w:lang w:val="en-US"/>
                <w14:ligatures w14:val="none"/>
              </w:rPr>
              <w:t>Additional information</w:t>
            </w:r>
            <w:r>
              <w:rPr>
                <w:rFonts w:eastAsia="Aptos"/>
                <w:kern w:val="0"/>
                <w:lang w:val="en-US"/>
                <w14:ligatures w14:val="none"/>
              </w:rPr>
              <w:t>:</w:t>
            </w:r>
          </w:p>
        </w:tc>
      </w:tr>
      <w:tr>
        <w:trPr>
          <w:trHeight w:val="300" w:hRule="atLeast"/>
        </w:trPr>
        <w:tc>
          <w:tcPr>
            <w:tcW w:w="8640" w:type="dxa"/>
            <w:gridSpan w:val="2"/>
            <w:tcBorders/>
          </w:tcPr>
          <w:p>
            <w:pPr>
              <w:pStyle w:val="Normal"/>
              <w:numPr>
                <w:ilvl w:val="1"/>
                <w:numId w:val="14"/>
              </w:numPr>
              <w:spacing w:lineRule="auto" w:line="276" w:before="80" w:after="0"/>
              <w:contextualSpacing/>
              <w:rPr>
                <w:rFonts w:eastAsia="Times New Roman"/>
                <w:color w:val="000000"/>
                <w:kern w:val="0"/>
                <w:lang w:eastAsia="el-GR"/>
                <w14:ligatures w14:val="none"/>
              </w:rPr>
            </w:pPr>
            <w:r>
              <w:rPr>
                <w:rFonts w:eastAsia="Aptos"/>
                <w:kern w:val="0"/>
                <w14:ligatures w14:val="none"/>
              </w:rPr>
              <w:t>Air quality at destination (provided ONLY if it is POOR or UNHEALTHY)</w:t>
            </w:r>
          </w:p>
        </w:tc>
      </w:tr>
      <w:tr>
        <w:trPr>
          <w:trHeight w:val="300" w:hRule="atLeast"/>
        </w:trPr>
        <w:tc>
          <w:tcPr>
            <w:tcW w:w="8640" w:type="dxa"/>
            <w:gridSpan w:val="2"/>
            <w:tcBorders/>
            <w:vAlign w:val="bottom"/>
          </w:tcPr>
          <w:p>
            <w:pPr>
              <w:pStyle w:val="Normal"/>
              <w:spacing w:lineRule="auto" w:line="240" w:before="80" w:after="0"/>
              <w:rPr>
                <w:rFonts w:eastAsia="Times New Roman"/>
                <w:color w:val="000000"/>
                <w:kern w:val="0"/>
                <w:lang w:eastAsia="el-GR"/>
                <w14:ligatures w14:val="none"/>
              </w:rPr>
            </w:pPr>
            <w:r>
              <w:rPr>
                <w:rFonts w:eastAsia="Times New Roman"/>
                <w:color w:val="000000"/>
                <w:kern w:val="0"/>
                <w:lang w:eastAsia="el-GR"/>
                <w14:ligatures w14:val="none"/>
              </w:rPr>
            </w:r>
          </w:p>
          <w:p>
            <w:pPr>
              <w:pStyle w:val="Normal"/>
              <w:spacing w:lineRule="auto" w:line="240" w:before="80" w:after="0"/>
              <w:rPr>
                <w:rFonts w:eastAsia="Times New Roman"/>
                <w:color w:val="000000"/>
                <w:kern w:val="0"/>
                <w:lang w:eastAsia="el-GR"/>
                <w14:ligatures w14:val="none"/>
              </w:rPr>
            </w:pPr>
            <w:r>
              <w:rPr>
                <w:rFonts w:eastAsia="Times New Roman"/>
                <w:color w:val="000000"/>
                <w:kern w:val="0"/>
                <w:lang w:eastAsia="el-GR"/>
                <w14:ligatures w14:val="none"/>
              </w:rPr>
              <w:t>An example response of the service is the following:</w:t>
            </w:r>
          </w:p>
          <w:p>
            <w:pPr>
              <w:pStyle w:val="Normal"/>
              <w:spacing w:lineRule="auto" w:line="240" w:before="80" w:after="0"/>
              <w:rPr>
                <w:rFonts w:eastAsia="Times New Roman"/>
                <w:color w:val="000000"/>
                <w:kern w:val="0"/>
                <w:lang w:eastAsia="el-GR"/>
                <w14:ligatures w14:val="none"/>
              </w:rPr>
            </w:pPr>
            <w:r>
              <w:rPr>
                <w:rFonts w:eastAsia="Times New Roman"/>
                <w:color w:val="000000"/>
                <w:kern w:val="0"/>
                <w:lang w:eastAsia="el-GR"/>
                <w14:ligatures w14:val="none"/>
              </w:rPr>
            </w:r>
          </w:p>
        </w:tc>
      </w:tr>
      <w:tr>
        <w:trPr>
          <w:trHeight w:val="300" w:hRule="atLeast"/>
        </w:trPr>
        <w:tc>
          <w:tcPr>
            <w:tcW w:w="8640" w:type="dxa"/>
            <w:gridSpan w:val="2"/>
            <w:tcBorders/>
            <w:vAlign w:val="bottom"/>
          </w:tcPr>
          <w:p>
            <w:pPr>
              <w:pStyle w:val="Normal"/>
              <w:spacing w:lineRule="auto" w:line="240" w:before="80" w:after="0"/>
              <w:rPr>
                <w:rFonts w:eastAsia="Times New Roman"/>
                <w:color w:val="000000"/>
                <w:kern w:val="0"/>
                <w:lang w:eastAsia="el-GR"/>
                <w14:ligatures w14:val="none"/>
              </w:rPr>
            </w:pPr>
            <w:r>
              <w:rPr>
                <w:rFonts w:eastAsia="Times New Roman"/>
                <w:color w:val="000000"/>
                <w:kern w:val="0"/>
                <w:lang w:eastAsia="el-GR"/>
                <w14:ligatures w14:val="none"/>
              </w:rPr>
              <w:t>For Route A:</w:t>
            </w:r>
          </w:p>
          <w:p>
            <w:pPr>
              <w:pStyle w:val="Normal"/>
              <w:spacing w:lineRule="auto" w:line="240" w:before="80" w:after="0"/>
              <w:rPr>
                <w:rFonts w:eastAsia="Times New Roman"/>
                <w:color w:val="000000"/>
                <w:kern w:val="0"/>
                <w:lang w:eastAsia="el-GR"/>
                <w14:ligatures w14:val="none"/>
              </w:rPr>
            </w:pPr>
            <w:r>
              <w:rPr>
                <w:rFonts w:eastAsia="Times New Roman"/>
                <w:color w:val="000000"/>
                <w:kern w:val="0"/>
                <w:lang w:eastAsia="el-GR"/>
                <w14:ligatures w14:val="none"/>
              </w:rPr>
            </w:r>
          </w:p>
        </w:tc>
      </w:tr>
      <w:tr>
        <w:trPr>
          <w:trHeight w:val="300" w:hRule="atLeast"/>
        </w:trPr>
        <w:tc>
          <w:tcPr>
            <w:tcW w:w="8640" w:type="dxa"/>
            <w:gridSpan w:val="2"/>
            <w:tcBorders/>
            <w:vAlign w:val="bottom"/>
          </w:tcPr>
          <w:p>
            <w:pPr>
              <w:pStyle w:val="Normal"/>
              <w:spacing w:lineRule="auto" w:line="240" w:before="80" w:after="0"/>
              <w:rPr>
                <w:rFonts w:eastAsia="Times New Roman"/>
                <w:i/>
                <w:color w:val="000000"/>
                <w:kern w:val="0"/>
                <w:lang w:val="en-US" w:eastAsia="el-GR"/>
                <w14:ligatures w14:val="none"/>
              </w:rPr>
            </w:pPr>
            <w:r>
              <w:rPr>
                <w:rFonts w:eastAsia="Times New Roman"/>
                <w:i/>
                <w:color w:val="000000"/>
                <w:kern w:val="0"/>
                <w:lang w:val="en-US" w:eastAsia="el-GR"/>
                <w14:ligatures w14:val="none"/>
              </w:rPr>
            </w:r>
          </w:p>
          <w:p>
            <w:pPr>
              <w:pStyle w:val="Normal"/>
              <w:spacing w:lineRule="auto" w:line="240" w:before="80" w:after="0"/>
              <w:rPr>
                <w:rFonts w:eastAsia="Times New Roman"/>
                <w:i/>
                <w:color w:val="000000"/>
                <w:kern w:val="0"/>
                <w:lang w:val="en-US" w:eastAsia="el-GR"/>
                <w14:ligatures w14:val="none"/>
              </w:rPr>
            </w:pPr>
            <w:r>
              <w:rPr>
                <w:rFonts w:eastAsia="Times New Roman"/>
                <w:i/>
                <w:color w:val="000000"/>
                <w:kern w:val="0"/>
                <w:lang w:val="en-US" w:eastAsia="el-GR"/>
                <w14:ligatures w14:val="none"/>
              </w:rPr>
              <w:t>Total cost: 5 €, of which financial cost to you is 2 €, estimated cost of time 1 €, and external cost to the society is 2 € (includes: possible accidents, air pollution, climate impact, impact on noise and impact on congestion) .</w:t>
            </w:r>
          </w:p>
        </w:tc>
      </w:tr>
      <w:tr>
        <w:trPr>
          <w:trHeight w:val="300" w:hRule="atLeast"/>
        </w:trPr>
        <w:tc>
          <w:tcPr>
            <w:tcW w:w="8640" w:type="dxa"/>
            <w:gridSpan w:val="2"/>
            <w:tcBorders/>
            <w:vAlign w:val="bottom"/>
          </w:tcPr>
          <w:p>
            <w:pPr>
              <w:pStyle w:val="Normal"/>
              <w:spacing w:lineRule="auto" w:line="240" w:before="80" w:after="0"/>
              <w:rPr>
                <w:rFonts w:eastAsia="Times New Roman"/>
                <w:i/>
                <w:color w:val="000000"/>
                <w:kern w:val="0"/>
                <w:lang w:val="en-US" w:eastAsia="el-GR"/>
                <w14:ligatures w14:val="none"/>
              </w:rPr>
            </w:pPr>
            <w:r>
              <w:rPr>
                <w:rFonts w:eastAsia="Times New Roman"/>
                <w:i/>
                <w:color w:val="000000"/>
                <w:kern w:val="0"/>
                <w:lang w:val="en-US" w:eastAsia="el-GR"/>
                <w14:ligatures w14:val="none"/>
              </w:rPr>
              <w:t>Trip information: travel time is 10 minutes but there is a possibility of 9 minutes time for searching a parking spot. Your CO2 emissions are 600 gr. KCAL consumption is ZERO</w:t>
            </w:r>
          </w:p>
        </w:tc>
      </w:tr>
      <w:tr>
        <w:trPr>
          <w:trHeight w:val="300" w:hRule="atLeast"/>
        </w:trPr>
        <w:tc>
          <w:tcPr>
            <w:tcW w:w="8640" w:type="dxa"/>
            <w:gridSpan w:val="2"/>
            <w:tcBorders/>
            <w:vAlign w:val="bottom"/>
          </w:tcPr>
          <w:p>
            <w:pPr>
              <w:pStyle w:val="Normal"/>
              <w:spacing w:lineRule="auto" w:line="240" w:before="80" w:after="0"/>
              <w:rPr>
                <w:rFonts w:eastAsia="Times New Roman"/>
                <w:i/>
                <w:color w:val="000000"/>
                <w:kern w:val="0"/>
                <w:lang w:val="en-US" w:eastAsia="el-GR"/>
                <w14:ligatures w14:val="none"/>
              </w:rPr>
            </w:pPr>
            <w:r>
              <w:rPr>
                <w:rFonts w:eastAsia="Times New Roman"/>
                <w:i/>
                <w:color w:val="000000"/>
                <w:kern w:val="0"/>
                <w:lang w:val="en-US" w:eastAsia="el-GR"/>
                <w14:ligatures w14:val="none"/>
              </w:rPr>
              <w:t>Additional information: at the destination the air quality is poor. There is a cost of parking equal to 4 €/hour for off street parking and 1,7 € for on street parking.</w:t>
            </w:r>
          </w:p>
          <w:p>
            <w:pPr>
              <w:pStyle w:val="Normal"/>
              <w:spacing w:lineRule="auto" w:line="240" w:before="80" w:after="0"/>
              <w:rPr>
                <w:rFonts w:eastAsia="Times New Roman"/>
                <w:i/>
                <w:color w:val="000000"/>
                <w:kern w:val="0"/>
                <w:lang w:eastAsia="el-GR"/>
                <w14:ligatures w14:val="none"/>
              </w:rPr>
            </w:pPr>
            <w:r>
              <w:rPr>
                <w:rFonts w:eastAsia="Times New Roman"/>
                <w:i/>
                <w:color w:val="000000"/>
                <w:kern w:val="0"/>
                <w:lang w:eastAsia="el-GR"/>
                <w14:ligatures w14:val="none"/>
              </w:rPr>
            </w:r>
          </w:p>
          <w:p>
            <w:pPr>
              <w:pStyle w:val="Normal"/>
              <w:spacing w:lineRule="auto" w:line="240" w:before="80" w:after="0"/>
              <w:rPr>
                <w:rFonts w:eastAsia="Times New Roman"/>
                <w:i/>
                <w:color w:val="000000"/>
                <w:kern w:val="0"/>
                <w:lang w:eastAsia="el-GR"/>
                <w14:ligatures w14:val="none"/>
              </w:rPr>
            </w:pPr>
            <w:r>
              <w:rPr>
                <w:rFonts w:eastAsia="Times New Roman"/>
                <w:i/>
                <w:color w:val="000000"/>
                <w:kern w:val="0"/>
                <w:lang w:eastAsia="el-GR"/>
                <w14:ligatures w14:val="none"/>
              </w:rPr>
            </w:r>
          </w:p>
        </w:tc>
      </w:tr>
    </w:tbl>
    <w:p>
      <w:pPr>
        <w:pStyle w:val="Normal"/>
        <w:keepNext w:val="true"/>
        <w:spacing w:lineRule="auto" w:line="259"/>
        <w:jc w:val="center"/>
        <w:rPr>
          <w:rFonts w:ascii="Aptos" w:hAnsi="Aptos" w:eastAsia="Aptos" w:cs="Times New Roman"/>
          <w:kern w:val="0"/>
          <w14:ligatures w14:val="none"/>
        </w:rPr>
      </w:pPr>
      <w:r>
        <w:rPr/>
        <w:drawing>
          <wp:inline distT="0" distB="0" distL="0" distR="0">
            <wp:extent cx="4919980" cy="3035935"/>
            <wp:effectExtent l="0" t="0" r="0" b="0"/>
            <wp:docPr id="9"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
                    <pic:cNvPicPr>
                      <a:picLocks noChangeAspect="1" noChangeArrowheads="1"/>
                    </pic:cNvPicPr>
                  </pic:nvPicPr>
                  <pic:blipFill>
                    <a:blip r:embed="rId18"/>
                    <a:stretch>
                      <a:fillRect/>
                    </a:stretch>
                  </pic:blipFill>
                  <pic:spPr bwMode="auto">
                    <a:xfrm>
                      <a:off x="0" y="0"/>
                      <a:ext cx="4919980" cy="3035935"/>
                    </a:xfrm>
                    <a:prstGeom prst="rect">
                      <a:avLst/>
                    </a:prstGeom>
                    <a:noFill/>
                  </pic:spPr>
                </pic:pic>
              </a:graphicData>
            </a:graphic>
          </wp:inline>
        </w:drawing>
      </w:r>
    </w:p>
    <w:p>
      <w:pPr>
        <w:pStyle w:val="Normal"/>
        <w:spacing w:lineRule="auto" w:line="240" w:before="80" w:after="200"/>
        <w:jc w:val="center"/>
        <w:rPr>
          <w:rFonts w:eastAsia="Aptos"/>
          <w:b/>
          <w:iCs/>
          <w:color w:val="0E2841"/>
          <w:kern w:val="0"/>
          <w:sz w:val="18"/>
          <w:szCs w:val="18"/>
          <w14:ligatures w14:val="none"/>
        </w:rPr>
      </w:pPr>
      <w:bookmarkStart w:id="80" w:name="_Toc226020113"/>
      <w:r>
        <w:rPr>
          <w:rFonts w:eastAsia="Aptos" w:cs="Times New Roman" w:ascii="Aptos" w:hAnsi="Aptos"/>
          <w:iCs/>
          <w:color w:val="0E2841"/>
          <w:kern w:val="0"/>
          <w:sz w:val="18"/>
          <w:szCs w:val="18"/>
          <w14:ligatures w14:val="none"/>
        </w:rPr>
        <w:t xml:space="preserve">Figure </w:t>
      </w:r>
      <w:r>
        <w:rPr>
          <w:rFonts w:eastAsia="Aptos" w:cs="Times New Roman" w:ascii="Aptos" w:hAnsi="Aptos"/>
          <w:iCs/>
          <w:color w:val="0E2841"/>
          <w:kern w:val="0"/>
          <w:sz w:val="18"/>
          <w:szCs w:val="18"/>
          <w14:ligatures w14:val="none"/>
        </w:rPr>
        <w:fldChar w:fldCharType="begin"/>
      </w:r>
      <w:r>
        <w:rPr>
          <w:rFonts w:eastAsia="Aptos" w:cs="Times New Roman" w:ascii="Aptos" w:hAnsi="Aptos"/>
          <w:iCs/>
          <w:color w:val="0E2841"/>
          <w:kern w:val="0"/>
          <w:sz w:val="18"/>
          <w:szCs w:val="18"/>
        </w:rPr>
        <w:instrText xml:space="preserve"> SEQ Figure \* ARABIC </w:instrText>
      </w:r>
      <w:r>
        <w:rPr>
          <w:rFonts w:eastAsia="Aptos" w:cs="Times New Roman" w:ascii="Aptos" w:hAnsi="Aptos"/>
          <w:iCs/>
          <w:color w:val="0E2841"/>
          <w:kern w:val="0"/>
          <w:sz w:val="18"/>
          <w:szCs w:val="18"/>
        </w:rPr>
        <w:fldChar w:fldCharType="separate"/>
      </w:r>
      <w:r>
        <w:rPr>
          <w:rFonts w:eastAsia="Aptos" w:cs="Times New Roman" w:ascii="Aptos" w:hAnsi="Aptos"/>
          <w:iCs/>
          <w:color w:val="0E2841"/>
          <w:kern w:val="0"/>
          <w:sz w:val="18"/>
          <w:szCs w:val="18"/>
        </w:rPr>
        <w:t>5</w:t>
      </w:r>
      <w:r>
        <w:rPr>
          <w:rFonts w:eastAsia="Aptos" w:cs="Times New Roman" w:ascii="Aptos" w:hAnsi="Aptos"/>
          <w:iCs/>
          <w:color w:val="0E2841"/>
          <w:kern w:val="0"/>
          <w:sz w:val="18"/>
          <w:szCs w:val="18"/>
        </w:rPr>
        <w:fldChar w:fldCharType="end"/>
      </w:r>
      <w:r>
        <w:rPr>
          <w:rFonts w:eastAsia="Aptos" w:cs="Times New Roman" w:ascii="Aptos" w:hAnsi="Aptos"/>
          <w:iCs/>
          <w:color w:val="0E2841"/>
          <w:kern w:val="0"/>
          <w:sz w:val="18"/>
          <w:szCs w:val="18"/>
          <w14:ligatures w14:val="none"/>
        </w:rPr>
        <w:t>: Multimodal Trip Planner internal testbed</w:t>
      </w:r>
      <w:bookmarkEnd w:id="80"/>
    </w:p>
    <w:p>
      <w:pPr>
        <w:pStyle w:val="Normal"/>
        <w:spacing w:lineRule="auto" w:line="259"/>
        <w:rPr>
          <w:rFonts w:eastAsia="Aptos"/>
          <w:b/>
          <w:kern w:val="0"/>
          <w14:ligatures w14:val="none"/>
        </w:rPr>
      </w:pPr>
      <w:r>
        <w:rPr>
          <w:rFonts w:eastAsia="Aptos"/>
          <w:b/>
          <w:kern w:val="0"/>
          <w14:ligatures w14:val="none"/>
        </w:rPr>
        <w:t>Results individualization (TBD)</w:t>
      </w:r>
    </w:p>
    <w:p>
      <w:pPr>
        <w:pStyle w:val="Normal"/>
        <w:overflowPunct w:val="true"/>
        <w:spacing w:lineRule="auto" w:line="259"/>
        <w:textAlignment w:val="baseline"/>
        <w:rPr>
          <w:rFonts w:eastAsia="Aptos"/>
          <w:kern w:val="0"/>
          <w14:ligatures w14:val="none"/>
        </w:rPr>
      </w:pPr>
      <w:r>
        <w:rPr>
          <w:rFonts w:eastAsia="Aptos"/>
          <w:kern w:val="0"/>
          <w14:ligatures w14:val="none"/>
        </w:rPr>
        <w:t xml:space="preserve">Each itinerary includes a comprehensive total cost that considers the previously presented key factors. </w:t>
      </w:r>
    </w:p>
    <w:p>
      <w:pPr>
        <w:pStyle w:val="Normal"/>
        <w:overflowPunct w:val="true"/>
        <w:spacing w:lineRule="auto" w:line="259"/>
        <w:textAlignment w:val="baseline"/>
        <w:rPr>
          <w:rFonts w:eastAsia="Aptos"/>
          <w:kern w:val="0"/>
          <w14:ligatures w14:val="none"/>
        </w:rPr>
      </w:pPr>
      <w:r>
        <w:rPr>
          <w:rFonts w:eastAsia="Aptos"/>
          <w:kern w:val="0"/>
          <w14:ligatures w14:val="none"/>
        </w:rPr>
        <w:t xml:space="preserve">However, to better match diverse user preferences, the service will be enhanced by internally sorting and ranking itineraries using a separate primary metric: a customizable generalized cost score. </w:t>
      </w:r>
    </w:p>
    <w:p>
      <w:pPr>
        <w:pStyle w:val="Normal"/>
        <w:spacing w:lineRule="auto" w:line="259"/>
        <w:rPr>
          <w:rFonts w:eastAsia="Aptos"/>
          <w:kern w:val="0"/>
          <w:lang w:val="en-US"/>
          <w14:ligatures w14:val="none"/>
        </w:rPr>
      </w:pPr>
      <w:r>
        <w:rPr>
          <w:rFonts w:eastAsia="Aptos"/>
          <w:kern w:val="0"/>
          <w:lang w:val="en-US"/>
          <w14:ligatures w14:val="none"/>
        </w:rPr>
        <w:t xml:space="preserve">For incorporating individual preferences in the utility function, an additional ranking mechanism that </w:t>
      </w:r>
      <w:r>
        <w:rPr>
          <w:rFonts w:eastAsia="Aptos"/>
          <w:kern w:val="0"/>
          <w:highlight w:val="yellow"/>
          <w:lang w:val="en-US"/>
          <w14:ligatures w14:val="none"/>
        </w:rPr>
        <w:t>will be based on previous research carried by CERTH in the UPPER TES_05 (https://www.upperprojecteu.eu/wp-content/uploads/2025/03/TES_05_Measure-development.pdf)</w:t>
      </w:r>
      <w:r>
        <w:rPr>
          <w:rFonts w:eastAsia="Aptos"/>
          <w:kern w:val="0"/>
          <w:lang w:val="en-US"/>
          <w14:ligatures w14:val="none"/>
        </w:rPr>
        <w:t xml:space="preserve"> will be developed. This mechanism will consider each user’s preferred modes of transport as they gathered via the feedback those users provided in the Mobilair app. The final form of the utility function that will be used is the following: </w:t>
      </w:r>
    </w:p>
    <w:p>
      <w:pPr>
        <w:pStyle w:val="Normal"/>
        <w:tabs>
          <w:tab w:val="clear" w:pos="720"/>
          <w:tab w:val="center" w:pos="3289" w:leader="none"/>
          <w:tab w:val="right" w:pos="6917" w:leader="none"/>
        </w:tabs>
        <w:overflowPunct w:val="true"/>
        <w:spacing w:lineRule="atLeast" w:line="240" w:before="160" w:after="120"/>
        <w:jc w:val="center"/>
        <w:textAlignment w:val="baseline"/>
        <w:rPr>
          <w:rFonts w:eastAsia="Times New Roman"/>
          <w:kern w:val="0"/>
          <w:sz w:val="20"/>
          <w:szCs w:val="20"/>
          <w:lang w:val="en-US"/>
          <w14:ligatures w14:val="none"/>
        </w:rPr>
      </w:pPr>
      <w:r>
        <w:rPr>
          <w:rFonts w:eastAsia="Times New Roman"/>
          <w:i/>
          <w:kern w:val="0"/>
          <w:sz w:val="20"/>
          <w:szCs w:val="20"/>
          <w:lang w:val="en-US"/>
          <w14:ligatures w14:val="none"/>
        </w:rPr>
        <w:t>GC</w:t>
      </w:r>
      <w:r>
        <w:rPr>
          <w:rFonts w:eastAsia="Times New Roman"/>
          <w:i/>
          <w:kern w:val="0"/>
          <w:sz w:val="20"/>
          <w:szCs w:val="20"/>
          <w:vertAlign w:val="subscript"/>
          <w:lang w:val="en-US"/>
          <w14:ligatures w14:val="none"/>
        </w:rPr>
        <w:t>i</w:t>
      </w:r>
      <w:r>
        <w:rPr>
          <w:rFonts w:eastAsia="Times New Roman"/>
          <w:i/>
          <w:kern w:val="0"/>
          <w:sz w:val="20"/>
          <w:szCs w:val="20"/>
          <w:lang w:val="en-US"/>
          <w14:ligatures w14:val="none"/>
        </w:rPr>
        <w:t xml:space="preserve"> = - 0.18 × </w:t>
      </w:r>
      <w:bookmarkStart w:id="81" w:name="_Hlk150864585"/>
      <w:r>
        <w:rPr/>
      </w:r>
      <m:oMath xmlns:m="http://schemas.openxmlformats.org/officeDocument/2006/math">
        <m:sSub>
          <m:e>
            <m:r>
              <m:t xml:space="preserve">f</m:t>
            </m:r>
          </m:e>
          <m:sub>
            <m:r>
              <m:t xml:space="preserve">ci</m:t>
            </m:r>
          </m:sub>
        </m:sSub>
      </m:oMath>
      <w:bookmarkEnd w:id="81"/>
      <w:r>
        <w:rPr>
          <w:rFonts w:eastAsia="Times New Roman"/>
          <w:i/>
          <w:kern w:val="0"/>
          <w:sz w:val="20"/>
          <w:szCs w:val="20"/>
          <w:lang w:val="en-US"/>
          <w14:ligatures w14:val="none"/>
        </w:rPr>
        <w:t xml:space="preserve">× </w:t>
      </w:r>
      <w:r>
        <w:rPr/>
      </w:r>
      <m:oMath xmlns:m="http://schemas.openxmlformats.org/officeDocument/2006/math">
        <m:sSub>
          <m:e>
            <m:r>
              <m:t xml:space="preserve">tt</m:t>
            </m:r>
          </m:e>
          <m:sub>
            <m:r>
              <m:t xml:space="preserve">c</m:t>
            </m:r>
          </m:sub>
        </m:sSub>
      </m:oMath>
      <w:r>
        <w:rPr>
          <w:rFonts w:eastAsia="Times New Roman"/>
          <w:i/>
          <w:kern w:val="0"/>
          <w:sz w:val="20"/>
          <w:szCs w:val="20"/>
          <w:lang w:val="en-US"/>
          <w14:ligatures w14:val="none"/>
        </w:rPr>
        <w:t xml:space="preserve"> - 0.236 × </w:t>
      </w:r>
      <w:r>
        <w:rPr/>
      </w:r>
      <m:oMath xmlns:m="http://schemas.openxmlformats.org/officeDocument/2006/math">
        <m:sSub>
          <m:e>
            <m:r>
              <m:t xml:space="preserve">f</m:t>
            </m:r>
          </m:e>
          <m:sub>
            <m:r>
              <m:t xml:space="preserve">bi</m:t>
            </m:r>
          </m:sub>
        </m:sSub>
      </m:oMath>
      <w:r>
        <w:rPr>
          <w:rFonts w:eastAsia="Times New Roman"/>
          <w:i/>
          <w:kern w:val="0"/>
          <w:sz w:val="20"/>
          <w:szCs w:val="20"/>
          <w:lang w:val="en-US"/>
          <w14:ligatures w14:val="none"/>
        </w:rPr>
        <w:t xml:space="preserve">× </w:t>
      </w:r>
      <w:r>
        <w:rPr/>
      </w:r>
      <m:oMath xmlns:m="http://schemas.openxmlformats.org/officeDocument/2006/math">
        <m:sSub>
          <m:e>
            <m:r>
              <m:t xml:space="preserve">tt</m:t>
            </m:r>
          </m:e>
          <m:sub>
            <m:r>
              <m:t xml:space="preserve">b</m:t>
            </m:r>
          </m:sub>
        </m:sSub>
      </m:oMath>
      <w:r>
        <w:rPr>
          <w:rFonts w:eastAsia="Times New Roman"/>
          <w:i/>
          <w:kern w:val="0"/>
          <w:sz w:val="20"/>
          <w:szCs w:val="20"/>
          <w:lang w:val="en-US"/>
          <w14:ligatures w14:val="none"/>
        </w:rPr>
        <w:t xml:space="preserve"> - 0.37 × </w:t>
      </w:r>
      <w:r>
        <w:rPr/>
      </w:r>
      <m:oMath xmlns:m="http://schemas.openxmlformats.org/officeDocument/2006/math">
        <m:sSub>
          <m:e>
            <m:r>
              <m:t xml:space="preserve">f</m:t>
            </m:r>
          </m:e>
          <m:sub>
            <m:r>
              <m:t xml:space="preserve">si</m:t>
            </m:r>
          </m:sub>
        </m:sSub>
      </m:oMath>
      <w:r>
        <w:rPr>
          <w:rFonts w:eastAsia="Times New Roman"/>
          <w:i/>
          <w:kern w:val="0"/>
          <w:sz w:val="20"/>
          <w:szCs w:val="20"/>
          <w:lang w:val="en-US"/>
          <w14:ligatures w14:val="none"/>
        </w:rPr>
        <w:t xml:space="preserve">× </w:t>
      </w:r>
      <w:r>
        <w:rPr/>
      </w:r>
      <m:oMath xmlns:m="http://schemas.openxmlformats.org/officeDocument/2006/math">
        <m:sSub>
          <m:e>
            <m:r>
              <m:t xml:space="preserve">tt</m:t>
            </m:r>
          </m:e>
          <m:sub>
            <m:r>
              <m:t xml:space="preserve">s</m:t>
            </m:r>
          </m:sub>
        </m:sSub>
      </m:oMath>
      <w:r>
        <w:rPr>
          <w:rFonts w:eastAsia="Times New Roman"/>
          <w:i/>
          <w:kern w:val="0"/>
          <w:sz w:val="20"/>
          <w:szCs w:val="20"/>
          <w:lang w:val="en-US"/>
          <w14:ligatures w14:val="none"/>
        </w:rPr>
        <w:t xml:space="preserve"> - 0.275 × </w:t>
      </w:r>
      <w:r>
        <w:rPr/>
      </w:r>
      <m:oMath xmlns:m="http://schemas.openxmlformats.org/officeDocument/2006/math">
        <m:sSub>
          <m:e>
            <m:r>
              <m:t xml:space="preserve">tt</m:t>
            </m:r>
          </m:e>
          <m:sub>
            <m:r>
              <m:t xml:space="preserve">w</m:t>
            </m:r>
          </m:sub>
        </m:sSub>
      </m:oMath>
      <w:r>
        <w:rPr>
          <w:rFonts w:eastAsia="Times New Roman"/>
          <w:i/>
          <w:kern w:val="0"/>
          <w:sz w:val="20"/>
          <w:szCs w:val="20"/>
          <w:lang w:val="en-US"/>
          <w14:ligatures w14:val="none"/>
        </w:rPr>
        <w:t xml:space="preserve"> - 0.314 × </w:t>
      </w:r>
      <w:r>
        <w:rPr/>
      </w:r>
      <m:oMath xmlns:m="http://schemas.openxmlformats.org/officeDocument/2006/math">
        <m:sSub>
          <m:e>
            <m:r>
              <m:t xml:space="preserve">tt</m:t>
            </m:r>
          </m:e>
          <m:sub>
            <m:r>
              <m:t xml:space="preserve">pt</m:t>
            </m:r>
          </m:sub>
        </m:sSub>
      </m:oMath>
      <w:r>
        <w:rPr>
          <w:rFonts w:eastAsia="Times New Roman"/>
          <w:i/>
          <w:kern w:val="0"/>
          <w:sz w:val="20"/>
          <w:szCs w:val="20"/>
          <w:lang w:val="en-US"/>
          <w14:ligatures w14:val="none"/>
        </w:rPr>
        <w:t xml:space="preserve"> - 1.073 × c - 3.925 × nt</w:t>
      </w:r>
      <w:r>
        <w:rPr>
          <w:rFonts w:eastAsia="Times New Roman"/>
          <w:kern w:val="0"/>
          <w:sz w:val="20"/>
          <w:szCs w:val="20"/>
          <w14:ligatures w14:val="none"/>
        </w:rPr>
        <w:tab/>
      </w:r>
    </w:p>
    <w:p>
      <w:pPr>
        <w:pStyle w:val="Normal"/>
        <w:spacing w:lineRule="auto" w:line="259"/>
        <w:rPr>
          <w:rFonts w:eastAsia="Aptos"/>
          <w:kern w:val="0"/>
          <w14:ligatures w14:val="none"/>
        </w:rPr>
      </w:pPr>
      <w:r>
        <w:rPr>
          <w:rFonts w:eastAsia="Aptos"/>
          <w:kern w:val="0"/>
          <w14:ligatures w14:val="none"/>
        </w:rPr>
        <w:t>where:</w:t>
      </w:r>
    </w:p>
    <w:p>
      <w:pPr>
        <w:pStyle w:val="Normal"/>
        <w:numPr>
          <w:ilvl w:val="0"/>
          <w:numId w:val="15"/>
        </w:numPr>
        <w:overflowPunct w:val="true"/>
        <w:spacing w:lineRule="auto" w:line="259" w:before="80" w:after="0"/>
        <w:ind w:hanging="360" w:start="360"/>
        <w:textAlignment w:val="baseline"/>
        <w:rPr>
          <w:rFonts w:eastAsia="Aptos"/>
          <w:kern w:val="0"/>
          <w14:ligatures w14:val="none"/>
        </w:rPr>
      </w:pPr>
      <w:r>
        <w:rPr/>
      </w:r>
      <m:oMath xmlns:m="http://schemas.openxmlformats.org/officeDocument/2006/math">
        <m:sSub>
          <m:e>
            <m:r>
              <m:t xml:space="preserve">tt</m:t>
            </m:r>
          </m:e>
          <m:sub>
            <m:r>
              <m:t xml:space="preserve">c</m:t>
            </m:r>
          </m:sub>
        </m:sSub>
      </m:oMath>
      <w:r>
        <w:rPr>
          <w:rFonts w:eastAsia="Aptos"/>
          <w:kern w:val="0"/>
          <w14:ligatures w14:val="none"/>
        </w:rPr>
        <w:t xml:space="preserve">, </w:t>
      </w:r>
      <w:r>
        <w:rPr/>
      </w:r>
      <m:oMath xmlns:m="http://schemas.openxmlformats.org/officeDocument/2006/math">
        <m:sSub>
          <m:e>
            <m:r>
              <m:t xml:space="preserve">tt</m:t>
            </m:r>
          </m:e>
          <m:sub>
            <m:r>
              <m:t xml:space="preserve">b</m:t>
            </m:r>
          </m:sub>
        </m:sSub>
      </m:oMath>
      <w:r>
        <w:rPr>
          <w:rFonts w:eastAsia="Aptos"/>
          <w:kern w:val="0"/>
          <w14:ligatures w14:val="none"/>
        </w:rPr>
        <w:t xml:space="preserve">, </w:t>
      </w:r>
      <w:r>
        <w:rPr/>
      </w:r>
      <m:oMath xmlns:m="http://schemas.openxmlformats.org/officeDocument/2006/math">
        <m:sSub>
          <m:e>
            <m:r>
              <m:t xml:space="preserve">tt</m:t>
            </m:r>
          </m:e>
          <m:sub>
            <m:r>
              <m:t xml:space="preserve">s</m:t>
            </m:r>
          </m:sub>
        </m:sSub>
      </m:oMath>
      <w:r>
        <w:rPr>
          <w:rFonts w:eastAsia="Aptos"/>
          <w:kern w:val="0"/>
          <w14:ligatures w14:val="none"/>
        </w:rPr>
        <w:t xml:space="preserve">, </w:t>
      </w:r>
      <w:r>
        <w:rPr/>
      </w:r>
      <m:oMath xmlns:m="http://schemas.openxmlformats.org/officeDocument/2006/math">
        <m:sSub>
          <m:e>
            <m:r>
              <m:t xml:space="preserve">tt</m:t>
            </m:r>
          </m:e>
          <m:sub>
            <m:r>
              <m:t xml:space="preserve">w</m:t>
            </m:r>
          </m:sub>
        </m:sSub>
        <m:r>
          <m:t xml:space="preserve">,</m:t>
        </m:r>
        <m:r>
          <m:rPr>
            <m:lit/>
            <m:nor/>
          </m:rPr>
          <m:t xml:space="preserve"> </m:t>
        </m:r>
        <m:sSub>
          <m:e>
            <m:r>
              <m:t xml:space="preserve">tt</m:t>
            </m:r>
          </m:e>
          <m:sub>
            <m:r>
              <m:t xml:space="preserve">pt</m:t>
            </m:r>
          </m:sub>
        </m:sSub>
      </m:oMath>
      <w:r>
        <w:rPr>
          <w:rFonts w:eastAsia="Aptos"/>
          <w:kern w:val="0"/>
          <w14:ligatures w14:val="none"/>
        </w:rPr>
        <w:t xml:space="preserve"> is the travel time with shared car, bike, scooter, walk and public transport respectively,</w:t>
      </w:r>
    </w:p>
    <w:p>
      <w:pPr>
        <w:pStyle w:val="Normal"/>
        <w:numPr>
          <w:ilvl w:val="0"/>
          <w:numId w:val="15"/>
        </w:numPr>
        <w:overflowPunct w:val="true"/>
        <w:spacing w:lineRule="auto" w:line="259" w:before="80" w:after="0"/>
        <w:ind w:hanging="360" w:start="360"/>
        <w:textAlignment w:val="baseline"/>
        <w:rPr>
          <w:rFonts w:eastAsia="Aptos"/>
          <w:kern w:val="0"/>
          <w14:ligatures w14:val="none"/>
        </w:rPr>
      </w:pPr>
      <w:r>
        <w:rPr>
          <w:rFonts w:eastAsia="Aptos"/>
          <w:i/>
          <w:kern w:val="0"/>
          <w14:ligatures w14:val="none"/>
        </w:rPr>
        <w:t>c</w:t>
      </w:r>
      <w:r>
        <w:rPr>
          <w:rFonts w:eastAsia="Aptos"/>
          <w:kern w:val="0"/>
          <w14:ligatures w14:val="none"/>
        </w:rPr>
        <w:t xml:space="preserve"> is the total cost of trip,</w:t>
      </w:r>
    </w:p>
    <w:p>
      <w:pPr>
        <w:pStyle w:val="Normal"/>
        <w:numPr>
          <w:ilvl w:val="0"/>
          <w:numId w:val="15"/>
        </w:numPr>
        <w:overflowPunct w:val="true"/>
        <w:spacing w:lineRule="auto" w:line="259" w:before="80" w:after="0"/>
        <w:ind w:hanging="360" w:start="360"/>
        <w:textAlignment w:val="baseline"/>
        <w:rPr>
          <w:rFonts w:eastAsia="Aptos"/>
          <w:kern w:val="0"/>
          <w:lang w:val="en-US"/>
          <w14:ligatures w14:val="none"/>
        </w:rPr>
      </w:pPr>
      <w:r>
        <w:rPr>
          <w:rFonts w:eastAsia="Aptos"/>
          <w:i/>
          <w:kern w:val="0"/>
          <w:lang w:val="en-US"/>
          <w14:ligatures w14:val="none"/>
        </w:rPr>
        <w:t>nt</w:t>
      </w:r>
      <w:r>
        <w:rPr>
          <w:rFonts w:eastAsia="Aptos"/>
          <w:kern w:val="0"/>
          <w:lang w:val="en-US"/>
          <w14:ligatures w14:val="none"/>
        </w:rPr>
        <w:t xml:space="preserve"> is the number of transfers between different modes.</w:t>
      </w:r>
    </w:p>
    <w:p>
      <w:pPr>
        <w:pStyle w:val="Normal"/>
        <w:spacing w:lineRule="auto" w:line="259"/>
        <w:rPr>
          <w:rFonts w:eastAsia="Aptos"/>
          <w:kern w:val="0"/>
          <w:lang w:val="en-US"/>
          <w14:ligatures w14:val="none"/>
        </w:rPr>
      </w:pPr>
      <w:r>
        <w:rPr>
          <w:rFonts w:eastAsia="Aptos"/>
          <w:kern w:val="0"/>
          <w:lang w:val="en-US"/>
          <w14:ligatures w14:val="none"/>
        </w:rPr>
        <w:t>The adaptation factors (f</w:t>
      </w:r>
      <w:r>
        <w:rPr>
          <w:rFonts w:eastAsia="Aptos"/>
          <w:kern w:val="0"/>
          <w:vertAlign w:val="subscript"/>
          <w:lang w:val="en-US"/>
          <w14:ligatures w14:val="none"/>
        </w:rPr>
        <w:t>c</w:t>
      </w:r>
      <w:r>
        <w:rPr>
          <w:rFonts w:eastAsia="Aptos"/>
          <w:kern w:val="0"/>
          <w:lang w:val="en-US"/>
          <w14:ligatures w14:val="none"/>
        </w:rPr>
        <w:t>, f</w:t>
      </w:r>
      <w:r>
        <w:rPr>
          <w:rFonts w:eastAsia="Aptos"/>
          <w:kern w:val="0"/>
          <w:vertAlign w:val="subscript"/>
          <w:lang w:val="en-US"/>
          <w14:ligatures w14:val="none"/>
        </w:rPr>
        <w:t>b</w:t>
      </w:r>
      <w:r>
        <w:rPr>
          <w:rFonts w:eastAsia="Aptos"/>
          <w:kern w:val="0"/>
          <w:lang w:val="en-US"/>
          <w14:ligatures w14:val="none"/>
        </w:rPr>
        <w:t>, f</w:t>
      </w:r>
      <w:r>
        <w:rPr>
          <w:rFonts w:eastAsia="Aptos"/>
          <w:kern w:val="0"/>
          <w:vertAlign w:val="subscript"/>
          <w:lang w:val="en-US"/>
          <w14:ligatures w14:val="none"/>
        </w:rPr>
        <w:t>s</w:t>
      </w:r>
      <w:r>
        <w:rPr>
          <w:rFonts w:eastAsia="Aptos"/>
          <w:kern w:val="0"/>
          <w:lang w:val="en-US"/>
          <w14:ligatures w14:val="none"/>
        </w:rPr>
        <w:t xml:space="preserve">) will be computed separately for each user </w:t>
      </w:r>
      <w:r>
        <w:rPr>
          <w:rFonts w:eastAsia="Aptos"/>
          <w:i/>
          <w:kern w:val="0"/>
          <w:lang w:val="en-US"/>
          <w14:ligatures w14:val="none"/>
        </w:rPr>
        <w:t>i</w:t>
      </w:r>
      <w:r>
        <w:rPr>
          <w:rFonts w:eastAsia="Aptos"/>
          <w:kern w:val="0"/>
          <w:lang w:val="en-US"/>
          <w14:ligatures w14:val="none"/>
        </w:rPr>
        <w:t xml:space="preserve"> and they will dynamically be recomputed as the user makes new trips. The three adaptation factors will be calculated using the following steps:</w:t>
      </w:r>
    </w:p>
    <w:p>
      <w:pPr>
        <w:pStyle w:val="Normal"/>
        <w:spacing w:lineRule="auto" w:line="259"/>
        <w:rPr>
          <w:rFonts w:eastAsia="Aptos"/>
          <w:kern w:val="0"/>
          <w14:ligatures w14:val="none"/>
        </w:rPr>
      </w:pPr>
      <w:r>
        <w:rPr>
          <w:rFonts w:eastAsia="Aptos"/>
          <w:kern w:val="0"/>
          <w14:ligatures w14:val="none"/>
        </w:rPr>
        <w:t>Step 1: calculate adaptation factors for each separate historically preferred trip</w:t>
      </w:r>
    </w:p>
    <w:p>
      <w:pPr>
        <w:pStyle w:val="Normal"/>
        <w:spacing w:lineRule="auto" w:line="259"/>
        <w:rPr>
          <w:rFonts w:eastAsia="Aptos"/>
          <w:kern w:val="0"/>
          <w:lang w:val="en-US"/>
          <w14:ligatures w14:val="none"/>
        </w:rPr>
      </w:pPr>
      <w:r>
        <w:rPr>
          <w:rFonts w:eastAsia="Aptos"/>
          <w:kern w:val="0"/>
          <w:lang w:val="en-US"/>
          <w14:ligatures w14:val="none"/>
        </w:rPr>
        <w:t xml:space="preserve">i) if it is a car trip: </w:t>
      </w:r>
    </w:p>
    <w:p>
      <w:pPr>
        <w:pStyle w:val="Normal"/>
        <w:spacing w:lineRule="auto" w:line="259"/>
        <w:rPr>
          <w:rFonts w:eastAsia="Aptos"/>
          <w:kern w:val="0"/>
          <w14:ligatures w14:val="none"/>
        </w:rPr>
      </w:pPr>
      <w:r>
        <w:rPr>
          <w:rFonts w:eastAsia="Aptos"/>
          <w:kern w:val="0"/>
          <w14:ligatures w14:val="none"/>
        </w:rPr>
        <w:t>f</w:t>
      </w:r>
      <w:r>
        <w:rPr>
          <w:rFonts w:eastAsia="Aptos"/>
          <w:kern w:val="0"/>
          <w:vertAlign w:val="subscript"/>
          <w14:ligatures w14:val="none"/>
        </w:rPr>
        <w:t>c1</w:t>
      </w:r>
      <w:r>
        <w:rPr>
          <w:rFonts w:eastAsia="Aptos"/>
          <w:kern w:val="0"/>
          <w14:ligatures w14:val="none"/>
        </w:rPr>
        <w:t xml:space="preserve"> =  </w:t>
      </w:r>
      <w:r>
        <w:rPr/>
      </w:r>
      <m:oMath xmlns:m="http://schemas.openxmlformats.org/officeDocument/2006/math">
        <m:f>
          <m:num>
            <m:sSub>
              <m:e>
                <m:r>
                  <m:t xml:space="preserve">t</m:t>
                </m:r>
              </m:e>
              <m:sub>
                <m:r>
                  <m:t xml:space="preserve">b</m:t>
                </m:r>
              </m:sub>
            </m:sSub>
          </m:num>
          <m:den>
            <m:sSub>
              <m:e>
                <m:r>
                  <m:t xml:space="preserve">t</m:t>
                </m:r>
              </m:e>
              <m:sub>
                <m:r>
                  <m:t xml:space="preserve">c</m:t>
                </m:r>
              </m:sub>
            </m:sSub>
          </m:den>
        </m:f>
      </m:oMath>
      <w:r>
        <w:rPr>
          <w:rFonts w:eastAsia="Times New Roman"/>
          <w:kern w:val="0"/>
          <w14:ligatures w14:val="none"/>
        </w:rPr>
        <w:t xml:space="preserve"> , if </w:t>
      </w:r>
      <w:r>
        <w:rPr/>
      </w:r>
      <m:oMath xmlns:m="http://schemas.openxmlformats.org/officeDocument/2006/math">
        <m:f>
          <m:num>
            <m:sSub>
              <m:e>
                <m:r>
                  <m:t xml:space="preserve">t</m:t>
                </m:r>
              </m:e>
              <m:sub>
                <m:r>
                  <m:t xml:space="preserve">b</m:t>
                </m:r>
              </m:sub>
            </m:sSub>
          </m:num>
          <m:den>
            <m:sSub>
              <m:e>
                <m:r>
                  <m:t xml:space="preserve">t</m:t>
                </m:r>
              </m:e>
              <m:sub>
                <m:r>
                  <m:t xml:space="preserve">c</m:t>
                </m:r>
              </m:sub>
            </m:sSub>
          </m:den>
        </m:f>
      </m:oMath>
      <w:r>
        <w:rPr>
          <w:rFonts w:eastAsia="Aptos"/>
          <w:kern w:val="0"/>
          <w14:ligatures w14:val="none"/>
        </w:rPr>
        <w:t xml:space="preserve"> &gt; 1 then cap f</w:t>
      </w:r>
      <w:r>
        <w:rPr>
          <w:rFonts w:eastAsia="Aptos"/>
          <w:kern w:val="0"/>
          <w:vertAlign w:val="subscript"/>
          <w14:ligatures w14:val="none"/>
        </w:rPr>
        <w:t>c1</w:t>
      </w:r>
      <w:r>
        <w:rPr>
          <w:rFonts w:eastAsia="Aptos"/>
          <w:kern w:val="0"/>
          <w14:ligatures w14:val="none"/>
        </w:rPr>
        <w:t xml:space="preserve"> to 1</w:t>
      </w:r>
    </w:p>
    <w:p>
      <w:pPr>
        <w:pStyle w:val="Normal"/>
        <w:spacing w:lineRule="auto" w:line="259"/>
        <w:rPr>
          <w:rFonts w:eastAsia="Aptos"/>
          <w:kern w:val="0"/>
          <w14:ligatures w14:val="none"/>
        </w:rPr>
      </w:pPr>
      <w:r>
        <w:rPr>
          <w:rFonts w:eastAsia="Aptos"/>
          <w:kern w:val="0"/>
          <w14:ligatures w14:val="none"/>
        </w:rPr>
        <w:t>f</w:t>
      </w:r>
      <w:r>
        <w:rPr>
          <w:rFonts w:eastAsia="Aptos"/>
          <w:kern w:val="0"/>
          <w:vertAlign w:val="subscript"/>
          <w14:ligatures w14:val="none"/>
        </w:rPr>
        <w:t>c2</w:t>
      </w:r>
      <w:r>
        <w:rPr>
          <w:rFonts w:eastAsia="Aptos"/>
          <w:kern w:val="0"/>
          <w14:ligatures w14:val="none"/>
        </w:rPr>
        <w:t xml:space="preserve"> =  </w:t>
      </w:r>
      <w:r>
        <w:rPr/>
      </w:r>
      <m:oMath xmlns:m="http://schemas.openxmlformats.org/officeDocument/2006/math">
        <m:f>
          <m:num>
            <m:sSub>
              <m:e>
                <m:r>
                  <m:t xml:space="preserve">t</m:t>
                </m:r>
              </m:e>
              <m:sub>
                <m:r>
                  <m:t xml:space="preserve">s</m:t>
                </m:r>
              </m:sub>
            </m:sSub>
          </m:num>
          <m:den>
            <m:sSub>
              <m:e>
                <m:r>
                  <m:t xml:space="preserve">t</m:t>
                </m:r>
              </m:e>
              <m:sub>
                <m:r>
                  <m:t xml:space="preserve">c</m:t>
                </m:r>
              </m:sub>
            </m:sSub>
          </m:den>
        </m:f>
      </m:oMath>
      <w:r>
        <w:rPr>
          <w:rFonts w:eastAsia="Times New Roman"/>
          <w:kern w:val="0"/>
          <w14:ligatures w14:val="none"/>
        </w:rPr>
        <w:t xml:space="preserve"> , if </w:t>
      </w:r>
      <w:r>
        <w:rPr/>
      </w:r>
      <m:oMath xmlns:m="http://schemas.openxmlformats.org/officeDocument/2006/math">
        <m:f>
          <m:num>
            <m:sSub>
              <m:e>
                <m:r>
                  <m:t xml:space="preserve">t</m:t>
                </m:r>
              </m:e>
              <m:sub>
                <m:r>
                  <m:t xml:space="preserve">s</m:t>
                </m:r>
              </m:sub>
            </m:sSub>
          </m:num>
          <m:den>
            <m:sSub>
              <m:e>
                <m:r>
                  <m:t xml:space="preserve">t</m:t>
                </m:r>
              </m:e>
              <m:sub>
                <m:r>
                  <m:t xml:space="preserve">c</m:t>
                </m:r>
              </m:sub>
            </m:sSub>
          </m:den>
        </m:f>
      </m:oMath>
      <w:r>
        <w:rPr>
          <w:rFonts w:eastAsia="Aptos"/>
          <w:kern w:val="0"/>
          <w14:ligatures w14:val="none"/>
        </w:rPr>
        <w:t xml:space="preserve"> &gt; 1 then cap f</w:t>
      </w:r>
      <w:r>
        <w:rPr>
          <w:rFonts w:eastAsia="Aptos"/>
          <w:kern w:val="0"/>
          <w:vertAlign w:val="subscript"/>
          <w14:ligatures w14:val="none"/>
        </w:rPr>
        <w:t>c2</w:t>
      </w:r>
      <w:r>
        <w:rPr>
          <w:rFonts w:eastAsia="Aptos"/>
          <w:kern w:val="0"/>
          <w14:ligatures w14:val="none"/>
        </w:rPr>
        <w:t xml:space="preserve"> to 1</w:t>
      </w:r>
    </w:p>
    <w:p>
      <w:pPr>
        <w:pStyle w:val="Normal"/>
        <w:spacing w:lineRule="auto" w:line="259"/>
        <w:rPr>
          <w:rFonts w:eastAsia="Aptos"/>
          <w:kern w:val="0"/>
          <w14:ligatures w14:val="none"/>
        </w:rPr>
      </w:pPr>
      <w:r>
        <w:rPr>
          <w:rFonts w:eastAsia="Aptos"/>
          <w:kern w:val="0"/>
          <w14:ligatures w14:val="none"/>
        </w:rPr>
        <w:t>f</w:t>
      </w:r>
      <w:r>
        <w:rPr>
          <w:rFonts w:eastAsia="Aptos"/>
          <w:kern w:val="0"/>
          <w:vertAlign w:val="subscript"/>
          <w14:ligatures w14:val="none"/>
        </w:rPr>
        <w:t>c3</w:t>
      </w:r>
      <w:r>
        <w:rPr>
          <w:rFonts w:eastAsia="Aptos"/>
          <w:kern w:val="0"/>
          <w14:ligatures w14:val="none"/>
        </w:rPr>
        <w:t xml:space="preserve"> =  </w:t>
      </w:r>
      <w:r>
        <w:rPr/>
      </w:r>
      <m:oMath xmlns:m="http://schemas.openxmlformats.org/officeDocument/2006/math">
        <m:f>
          <m:num>
            <m:r>
              <m:t xml:space="preserve">Tw</m:t>
            </m:r>
          </m:num>
          <m:den>
            <m:sSub>
              <m:e>
                <m:r>
                  <m:t xml:space="preserve">t</m:t>
                </m:r>
              </m:e>
              <m:sub>
                <m:r>
                  <m:t xml:space="preserve">c</m:t>
                </m:r>
              </m:sub>
            </m:sSub>
          </m:den>
        </m:f>
      </m:oMath>
      <w:r>
        <w:rPr>
          <w:rFonts w:eastAsia="Times New Roman"/>
          <w:kern w:val="0"/>
          <w14:ligatures w14:val="none"/>
        </w:rPr>
        <w:t xml:space="preserve"> , if </w:t>
      </w:r>
      <w:r>
        <w:rPr/>
      </w:r>
      <m:oMath xmlns:m="http://schemas.openxmlformats.org/officeDocument/2006/math">
        <m:f>
          <m:num>
            <m:sSub>
              <m:e>
                <m:r>
                  <m:t xml:space="preserve">t</m:t>
                </m:r>
              </m:e>
              <m:sub>
                <m:r>
                  <m:t xml:space="preserve">w</m:t>
                </m:r>
              </m:sub>
            </m:sSub>
          </m:num>
          <m:den>
            <m:sSub>
              <m:e>
                <m:r>
                  <m:t xml:space="preserve">t</m:t>
                </m:r>
              </m:e>
              <m:sub>
                <m:r>
                  <m:t xml:space="preserve">c</m:t>
                </m:r>
              </m:sub>
            </m:sSub>
          </m:den>
        </m:f>
      </m:oMath>
      <w:r>
        <w:rPr>
          <w:rFonts w:eastAsia="Aptos"/>
          <w:kern w:val="0"/>
          <w14:ligatures w14:val="none"/>
        </w:rPr>
        <w:t xml:space="preserve"> &gt; 1 then cap f</w:t>
      </w:r>
      <w:r>
        <w:rPr>
          <w:rFonts w:eastAsia="Aptos"/>
          <w:kern w:val="0"/>
          <w:vertAlign w:val="subscript"/>
          <w14:ligatures w14:val="none"/>
        </w:rPr>
        <w:t>c3</w:t>
      </w:r>
      <w:r>
        <w:rPr>
          <w:rFonts w:eastAsia="Aptos"/>
          <w:kern w:val="0"/>
          <w14:ligatures w14:val="none"/>
        </w:rPr>
        <w:t xml:space="preserve"> to 1</w:t>
      </w:r>
    </w:p>
    <w:p>
      <w:pPr>
        <w:pStyle w:val="Normal"/>
        <w:spacing w:lineRule="auto" w:line="259"/>
        <w:rPr>
          <w:rFonts w:eastAsia="Aptos"/>
          <w:kern w:val="0"/>
          <w14:ligatures w14:val="none"/>
        </w:rPr>
      </w:pPr>
      <w:r>
        <w:rPr>
          <w:rFonts w:eastAsia="Aptos"/>
          <w:kern w:val="0"/>
          <w14:ligatures w14:val="none"/>
        </w:rPr>
        <w:t>f</w:t>
      </w:r>
      <w:r>
        <w:rPr>
          <w:rFonts w:eastAsia="Aptos"/>
          <w:kern w:val="0"/>
          <w:vertAlign w:val="subscript"/>
          <w14:ligatures w14:val="none"/>
        </w:rPr>
        <w:t>c4</w:t>
      </w:r>
      <w:r>
        <w:rPr>
          <w:rFonts w:eastAsia="Aptos"/>
          <w:kern w:val="0"/>
          <w14:ligatures w14:val="none"/>
        </w:rPr>
        <w:t xml:space="preserve"> =  </w:t>
      </w:r>
      <w:r>
        <w:rPr/>
      </w:r>
      <m:oMath xmlns:m="http://schemas.openxmlformats.org/officeDocument/2006/math">
        <m:f>
          <m:num>
            <m:r>
              <m:t xml:space="preserve">Tpt</m:t>
            </m:r>
          </m:num>
          <m:den>
            <m:sSub>
              <m:e>
                <m:r>
                  <m:t xml:space="preserve">t</m:t>
                </m:r>
              </m:e>
              <m:sub>
                <m:r>
                  <m:t xml:space="preserve">c</m:t>
                </m:r>
              </m:sub>
            </m:sSub>
          </m:den>
        </m:f>
      </m:oMath>
      <w:r>
        <w:rPr>
          <w:rFonts w:eastAsia="Times New Roman"/>
          <w:kern w:val="0"/>
          <w14:ligatures w14:val="none"/>
        </w:rPr>
        <w:t xml:space="preserve"> , if </w:t>
      </w:r>
      <w:r>
        <w:rPr/>
      </w:r>
      <m:oMath xmlns:m="http://schemas.openxmlformats.org/officeDocument/2006/math">
        <m:f>
          <m:num>
            <m:sSub>
              <m:e>
                <m:r>
                  <m:t xml:space="preserve">t</m:t>
                </m:r>
              </m:e>
              <m:sub>
                <m:r>
                  <m:t xml:space="preserve">pt</m:t>
                </m:r>
              </m:sub>
            </m:sSub>
          </m:num>
          <m:den>
            <m:sSub>
              <m:e>
                <m:r>
                  <m:t xml:space="preserve">t</m:t>
                </m:r>
              </m:e>
              <m:sub>
                <m:r>
                  <m:t xml:space="preserve">c</m:t>
                </m:r>
              </m:sub>
            </m:sSub>
          </m:den>
        </m:f>
      </m:oMath>
      <w:r>
        <w:rPr>
          <w:rFonts w:eastAsia="Aptos"/>
          <w:kern w:val="0"/>
          <w14:ligatures w14:val="none"/>
        </w:rPr>
        <w:t xml:space="preserve"> &gt; 1 then cap f</w:t>
      </w:r>
      <w:r>
        <w:rPr>
          <w:rFonts w:eastAsia="Aptos"/>
          <w:kern w:val="0"/>
          <w:vertAlign w:val="subscript"/>
          <w14:ligatures w14:val="none"/>
        </w:rPr>
        <w:t>c4</w:t>
      </w:r>
      <w:r>
        <w:rPr>
          <w:rFonts w:eastAsia="Aptos"/>
          <w:kern w:val="0"/>
          <w14:ligatures w14:val="none"/>
        </w:rPr>
        <w:t xml:space="preserve"> to 1</w:t>
      </w:r>
    </w:p>
    <w:p>
      <w:pPr>
        <w:pStyle w:val="Normal"/>
        <w:spacing w:lineRule="auto" w:line="259"/>
        <w:rPr>
          <w:rFonts w:eastAsia="Aptos"/>
          <w:kern w:val="0"/>
          <w14:ligatures w14:val="none"/>
        </w:rPr>
      </w:pPr>
      <w:r>
        <w:rPr>
          <w:rFonts w:eastAsia="Aptos"/>
          <w:kern w:val="0"/>
          <w14:ligatures w14:val="none"/>
        </w:rPr>
        <w:t>ii) if it is a bike trip:</w:t>
      </w:r>
    </w:p>
    <w:p>
      <w:pPr>
        <w:pStyle w:val="Normal"/>
        <w:spacing w:lineRule="auto" w:line="259"/>
        <w:rPr>
          <w:rFonts w:eastAsia="Aptos"/>
          <w:kern w:val="0"/>
          <w14:ligatures w14:val="none"/>
        </w:rPr>
      </w:pPr>
      <w:r>
        <w:rPr>
          <w:rFonts w:eastAsia="Aptos"/>
          <w:kern w:val="0"/>
          <w14:ligatures w14:val="none"/>
        </w:rPr>
        <w:t>f</w:t>
      </w:r>
      <w:r>
        <w:rPr>
          <w:rFonts w:eastAsia="Aptos"/>
          <w:kern w:val="0"/>
          <w:vertAlign w:val="subscript"/>
          <w14:ligatures w14:val="none"/>
        </w:rPr>
        <w:t>b1</w:t>
      </w:r>
      <w:r>
        <w:rPr>
          <w:rFonts w:eastAsia="Aptos"/>
          <w:kern w:val="0"/>
          <w14:ligatures w14:val="none"/>
        </w:rPr>
        <w:t xml:space="preserve"> =  </w:t>
      </w:r>
      <w:r>
        <w:rPr/>
      </w:r>
      <m:oMath xmlns:m="http://schemas.openxmlformats.org/officeDocument/2006/math">
        <m:f>
          <m:num>
            <m:sSub>
              <m:e>
                <m:r>
                  <m:t xml:space="preserve">t</m:t>
                </m:r>
              </m:e>
              <m:sub>
                <m:r>
                  <m:t xml:space="preserve">c</m:t>
                </m:r>
              </m:sub>
            </m:sSub>
          </m:num>
          <m:den>
            <m:sSub>
              <m:e>
                <m:r>
                  <m:t xml:space="preserve">t</m:t>
                </m:r>
              </m:e>
              <m:sub>
                <m:r>
                  <m:t xml:space="preserve">b</m:t>
                </m:r>
              </m:sub>
            </m:sSub>
          </m:den>
        </m:f>
      </m:oMath>
      <w:r>
        <w:rPr>
          <w:rFonts w:eastAsia="Times New Roman"/>
          <w:kern w:val="0"/>
          <w14:ligatures w14:val="none"/>
        </w:rPr>
        <w:t xml:space="preserve"> , if </w:t>
      </w:r>
      <w:r>
        <w:rPr/>
      </w:r>
      <m:oMath xmlns:m="http://schemas.openxmlformats.org/officeDocument/2006/math">
        <m:f>
          <m:num>
            <m:sSub>
              <m:e>
                <m:r>
                  <m:t xml:space="preserve">t</m:t>
                </m:r>
              </m:e>
              <m:sub>
                <m:r>
                  <m:t xml:space="preserve">c</m:t>
                </m:r>
              </m:sub>
            </m:sSub>
          </m:num>
          <m:den>
            <m:sSub>
              <m:e>
                <m:r>
                  <m:t xml:space="preserve">t</m:t>
                </m:r>
              </m:e>
              <m:sub>
                <m:r>
                  <m:t xml:space="preserve">b</m:t>
                </m:r>
              </m:sub>
            </m:sSub>
          </m:den>
        </m:f>
      </m:oMath>
      <w:r>
        <w:rPr>
          <w:rFonts w:eastAsia="Aptos"/>
          <w:kern w:val="0"/>
          <w14:ligatures w14:val="none"/>
        </w:rPr>
        <w:t xml:space="preserve"> &gt; 1 then cap f</w:t>
      </w:r>
      <w:r>
        <w:rPr>
          <w:rFonts w:eastAsia="Aptos"/>
          <w:kern w:val="0"/>
          <w:vertAlign w:val="subscript"/>
          <w14:ligatures w14:val="none"/>
        </w:rPr>
        <w:t>b1</w:t>
      </w:r>
      <w:r>
        <w:rPr>
          <w:rFonts w:eastAsia="Aptos"/>
          <w:kern w:val="0"/>
          <w14:ligatures w14:val="none"/>
        </w:rPr>
        <w:t xml:space="preserve"> to 1</w:t>
      </w:r>
    </w:p>
    <w:p>
      <w:pPr>
        <w:pStyle w:val="Normal"/>
        <w:spacing w:lineRule="auto" w:line="259"/>
        <w:rPr>
          <w:rFonts w:eastAsia="Aptos"/>
          <w:kern w:val="0"/>
          <w14:ligatures w14:val="none"/>
        </w:rPr>
      </w:pPr>
      <w:r>
        <w:rPr>
          <w:rFonts w:eastAsia="Aptos"/>
          <w:kern w:val="0"/>
          <w14:ligatures w14:val="none"/>
        </w:rPr>
        <w:t>f</w:t>
      </w:r>
      <w:r>
        <w:rPr>
          <w:rFonts w:eastAsia="Aptos"/>
          <w:kern w:val="0"/>
          <w:vertAlign w:val="subscript"/>
          <w14:ligatures w14:val="none"/>
        </w:rPr>
        <w:t>b2</w:t>
      </w:r>
      <w:r>
        <w:rPr>
          <w:rFonts w:eastAsia="Aptos"/>
          <w:kern w:val="0"/>
          <w14:ligatures w14:val="none"/>
        </w:rPr>
        <w:t xml:space="preserve"> =  </w:t>
      </w:r>
      <w:r>
        <w:rPr/>
      </w:r>
      <m:oMath xmlns:m="http://schemas.openxmlformats.org/officeDocument/2006/math">
        <m:f>
          <m:num>
            <m:sSub>
              <m:e>
                <m:r>
                  <m:t xml:space="preserve">t</m:t>
                </m:r>
              </m:e>
              <m:sub>
                <m:r>
                  <m:t xml:space="preserve">s</m:t>
                </m:r>
              </m:sub>
            </m:sSub>
          </m:num>
          <m:den>
            <m:sSub>
              <m:e>
                <m:r>
                  <m:t xml:space="preserve">t</m:t>
                </m:r>
              </m:e>
              <m:sub>
                <m:r>
                  <m:t xml:space="preserve">b</m:t>
                </m:r>
              </m:sub>
            </m:sSub>
          </m:den>
        </m:f>
      </m:oMath>
      <w:r>
        <w:rPr>
          <w:rFonts w:eastAsia="Times New Roman"/>
          <w:kern w:val="0"/>
          <w14:ligatures w14:val="none"/>
        </w:rPr>
        <w:t xml:space="preserve"> , if </w:t>
      </w:r>
      <w:r>
        <w:rPr/>
      </w:r>
      <m:oMath xmlns:m="http://schemas.openxmlformats.org/officeDocument/2006/math">
        <m:f>
          <m:num>
            <m:sSub>
              <m:e>
                <m:r>
                  <m:t xml:space="preserve">t</m:t>
                </m:r>
              </m:e>
              <m:sub>
                <m:r>
                  <m:t xml:space="preserve">s</m:t>
                </m:r>
              </m:sub>
            </m:sSub>
          </m:num>
          <m:den>
            <m:sSub>
              <m:e>
                <m:r>
                  <m:t xml:space="preserve">t</m:t>
                </m:r>
              </m:e>
              <m:sub>
                <m:r>
                  <m:t xml:space="preserve">b</m:t>
                </m:r>
              </m:sub>
            </m:sSub>
          </m:den>
        </m:f>
      </m:oMath>
      <w:r>
        <w:rPr>
          <w:rFonts w:eastAsia="Aptos"/>
          <w:kern w:val="0"/>
          <w14:ligatures w14:val="none"/>
        </w:rPr>
        <w:t xml:space="preserve"> &gt; 1 then cap f</w:t>
      </w:r>
      <w:r>
        <w:rPr>
          <w:rFonts w:eastAsia="Aptos"/>
          <w:kern w:val="0"/>
          <w:vertAlign w:val="subscript"/>
          <w14:ligatures w14:val="none"/>
        </w:rPr>
        <w:t>b2</w:t>
      </w:r>
      <w:r>
        <w:rPr>
          <w:rFonts w:eastAsia="Aptos"/>
          <w:kern w:val="0"/>
          <w14:ligatures w14:val="none"/>
        </w:rPr>
        <w:t xml:space="preserve"> to 1</w:t>
      </w:r>
    </w:p>
    <w:p>
      <w:pPr>
        <w:pStyle w:val="Normal"/>
        <w:spacing w:lineRule="auto" w:line="259"/>
        <w:rPr>
          <w:rFonts w:eastAsia="Aptos"/>
          <w:kern w:val="0"/>
          <w14:ligatures w14:val="none"/>
        </w:rPr>
      </w:pPr>
      <w:r>
        <w:rPr>
          <w:rFonts w:eastAsia="Aptos"/>
          <w:kern w:val="0"/>
          <w14:ligatures w14:val="none"/>
        </w:rPr>
        <w:t>f</w:t>
      </w:r>
      <w:r>
        <w:rPr>
          <w:rFonts w:eastAsia="Aptos"/>
          <w:kern w:val="0"/>
          <w:vertAlign w:val="subscript"/>
          <w14:ligatures w14:val="none"/>
        </w:rPr>
        <w:t>b3</w:t>
      </w:r>
      <w:r>
        <w:rPr>
          <w:rFonts w:eastAsia="Aptos"/>
          <w:kern w:val="0"/>
          <w14:ligatures w14:val="none"/>
        </w:rPr>
        <w:t xml:space="preserve"> =  </w:t>
      </w:r>
      <w:r>
        <w:rPr/>
      </w:r>
      <m:oMath xmlns:m="http://schemas.openxmlformats.org/officeDocument/2006/math">
        <m:f>
          <m:num>
            <m:sSub>
              <m:e>
                <m:r>
                  <m:t xml:space="preserve">t</m:t>
                </m:r>
              </m:e>
              <m:sub>
                <m:r>
                  <m:t xml:space="preserve">w</m:t>
                </m:r>
              </m:sub>
            </m:sSub>
          </m:num>
          <m:den>
            <m:sSub>
              <m:e>
                <m:r>
                  <m:t xml:space="preserve">t</m:t>
                </m:r>
              </m:e>
              <m:sub>
                <m:r>
                  <m:t xml:space="preserve">b</m:t>
                </m:r>
              </m:sub>
            </m:sSub>
          </m:den>
        </m:f>
      </m:oMath>
      <w:r>
        <w:rPr>
          <w:rFonts w:eastAsia="Times New Roman"/>
          <w:kern w:val="0"/>
          <w14:ligatures w14:val="none"/>
        </w:rPr>
        <w:t xml:space="preserve"> , if </w:t>
      </w:r>
      <w:r>
        <w:rPr/>
      </w:r>
      <m:oMath xmlns:m="http://schemas.openxmlformats.org/officeDocument/2006/math">
        <m:f>
          <m:num>
            <m:sSub>
              <m:e>
                <m:r>
                  <m:t xml:space="preserve">t</m:t>
                </m:r>
              </m:e>
              <m:sub>
                <m:r>
                  <m:t xml:space="preserve">w</m:t>
                </m:r>
              </m:sub>
            </m:sSub>
          </m:num>
          <m:den>
            <m:sSub>
              <m:e>
                <m:r>
                  <m:t xml:space="preserve">t</m:t>
                </m:r>
              </m:e>
              <m:sub>
                <m:r>
                  <m:t xml:space="preserve">b</m:t>
                </m:r>
              </m:sub>
            </m:sSub>
          </m:den>
        </m:f>
      </m:oMath>
      <w:r>
        <w:rPr>
          <w:rFonts w:eastAsia="Aptos"/>
          <w:kern w:val="0"/>
          <w14:ligatures w14:val="none"/>
        </w:rPr>
        <w:t xml:space="preserve"> &gt; 1 then cap f</w:t>
      </w:r>
      <w:r>
        <w:rPr>
          <w:rFonts w:eastAsia="Aptos"/>
          <w:kern w:val="0"/>
          <w:vertAlign w:val="subscript"/>
          <w14:ligatures w14:val="none"/>
        </w:rPr>
        <w:t>b3</w:t>
      </w:r>
      <w:r>
        <w:rPr>
          <w:rFonts w:eastAsia="Aptos"/>
          <w:kern w:val="0"/>
          <w14:ligatures w14:val="none"/>
        </w:rPr>
        <w:t xml:space="preserve"> to 1</w:t>
      </w:r>
    </w:p>
    <w:p>
      <w:pPr>
        <w:pStyle w:val="Normal"/>
        <w:spacing w:lineRule="auto" w:line="259"/>
        <w:rPr>
          <w:rFonts w:eastAsia="Aptos"/>
          <w:kern w:val="0"/>
          <w14:ligatures w14:val="none"/>
        </w:rPr>
      </w:pPr>
      <w:r>
        <w:rPr>
          <w:rFonts w:eastAsia="Aptos"/>
          <w:kern w:val="0"/>
          <w14:ligatures w14:val="none"/>
        </w:rPr>
        <w:t>f</w:t>
      </w:r>
      <w:r>
        <w:rPr>
          <w:rFonts w:eastAsia="Aptos"/>
          <w:kern w:val="0"/>
          <w:vertAlign w:val="subscript"/>
          <w14:ligatures w14:val="none"/>
        </w:rPr>
        <w:t>b4</w:t>
      </w:r>
      <w:r>
        <w:rPr>
          <w:rFonts w:eastAsia="Aptos"/>
          <w:kern w:val="0"/>
          <w14:ligatures w14:val="none"/>
        </w:rPr>
        <w:t xml:space="preserve"> =  </w:t>
      </w:r>
      <w:r>
        <w:rPr/>
      </w:r>
      <m:oMath xmlns:m="http://schemas.openxmlformats.org/officeDocument/2006/math">
        <m:f>
          <m:num>
            <m:sSub>
              <m:e>
                <m:r>
                  <m:t xml:space="preserve">t</m:t>
                </m:r>
              </m:e>
              <m:sub>
                <m:r>
                  <m:t xml:space="preserve">pt</m:t>
                </m:r>
              </m:sub>
            </m:sSub>
          </m:num>
          <m:den>
            <m:sSub>
              <m:e>
                <m:r>
                  <m:t xml:space="preserve">t</m:t>
                </m:r>
              </m:e>
              <m:sub>
                <m:r>
                  <m:t xml:space="preserve">b</m:t>
                </m:r>
              </m:sub>
            </m:sSub>
          </m:den>
        </m:f>
      </m:oMath>
      <w:r>
        <w:rPr>
          <w:rFonts w:eastAsia="Times New Roman"/>
          <w:kern w:val="0"/>
          <w14:ligatures w14:val="none"/>
        </w:rPr>
        <w:t xml:space="preserve"> , if </w:t>
      </w:r>
      <w:r>
        <w:rPr/>
      </w:r>
      <m:oMath xmlns:m="http://schemas.openxmlformats.org/officeDocument/2006/math">
        <m:f>
          <m:num>
            <m:sSub>
              <m:e>
                <m:r>
                  <m:t xml:space="preserve">t</m:t>
                </m:r>
              </m:e>
              <m:sub>
                <m:r>
                  <m:t xml:space="preserve">pt</m:t>
                </m:r>
              </m:sub>
            </m:sSub>
          </m:num>
          <m:den>
            <m:sSub>
              <m:e>
                <m:r>
                  <m:t xml:space="preserve">t</m:t>
                </m:r>
              </m:e>
              <m:sub>
                <m:r>
                  <m:t xml:space="preserve">b</m:t>
                </m:r>
              </m:sub>
            </m:sSub>
          </m:den>
        </m:f>
      </m:oMath>
      <w:r>
        <w:rPr>
          <w:rFonts w:eastAsia="Aptos"/>
          <w:kern w:val="0"/>
          <w14:ligatures w14:val="none"/>
        </w:rPr>
        <w:t xml:space="preserve"> &gt; 1 then cap f</w:t>
      </w:r>
      <w:r>
        <w:rPr>
          <w:rFonts w:eastAsia="Aptos"/>
          <w:kern w:val="0"/>
          <w:vertAlign w:val="subscript"/>
          <w14:ligatures w14:val="none"/>
        </w:rPr>
        <w:t>b4</w:t>
      </w:r>
      <w:r>
        <w:rPr>
          <w:rFonts w:eastAsia="Aptos"/>
          <w:kern w:val="0"/>
          <w14:ligatures w14:val="none"/>
        </w:rPr>
        <w:t xml:space="preserve"> to 1</w:t>
      </w:r>
    </w:p>
    <w:p>
      <w:pPr>
        <w:pStyle w:val="Normal"/>
        <w:spacing w:lineRule="auto" w:line="259"/>
        <w:rPr>
          <w:rFonts w:eastAsia="Aptos"/>
          <w:kern w:val="0"/>
          <w14:ligatures w14:val="none"/>
        </w:rPr>
      </w:pPr>
      <w:r>
        <w:rPr>
          <w:rFonts w:eastAsia="Aptos"/>
          <w:kern w:val="0"/>
          <w14:ligatures w14:val="none"/>
        </w:rPr>
        <w:t>iii) if it is a scooter trip:</w:t>
      </w:r>
    </w:p>
    <w:p>
      <w:pPr>
        <w:pStyle w:val="Normal"/>
        <w:spacing w:lineRule="auto" w:line="259"/>
        <w:rPr>
          <w:rFonts w:eastAsia="Aptos"/>
          <w:kern w:val="0"/>
          <w14:ligatures w14:val="none"/>
        </w:rPr>
      </w:pPr>
      <w:r>
        <w:rPr>
          <w:rFonts w:eastAsia="Aptos"/>
          <w:kern w:val="0"/>
          <w14:ligatures w14:val="none"/>
        </w:rPr>
        <w:t>f</w:t>
      </w:r>
      <w:r>
        <w:rPr>
          <w:rFonts w:eastAsia="Aptos"/>
          <w:kern w:val="0"/>
          <w:vertAlign w:val="subscript"/>
          <w14:ligatures w14:val="none"/>
        </w:rPr>
        <w:t>s1</w:t>
      </w:r>
      <w:r>
        <w:rPr>
          <w:rFonts w:eastAsia="Aptos"/>
          <w:kern w:val="0"/>
          <w14:ligatures w14:val="none"/>
        </w:rPr>
        <w:t xml:space="preserve"> =  </w:t>
      </w:r>
      <w:r>
        <w:rPr/>
      </w:r>
      <m:oMath xmlns:m="http://schemas.openxmlformats.org/officeDocument/2006/math">
        <m:f>
          <m:num>
            <m:sSub>
              <m:e>
                <m:r>
                  <m:t xml:space="preserve">t</m:t>
                </m:r>
              </m:e>
              <m:sub>
                <m:r>
                  <m:t xml:space="preserve">c</m:t>
                </m:r>
              </m:sub>
            </m:sSub>
          </m:num>
          <m:den>
            <m:sSub>
              <m:e>
                <m:r>
                  <m:t xml:space="preserve">t</m:t>
                </m:r>
              </m:e>
              <m:sub>
                <m:r>
                  <m:t xml:space="preserve">s</m:t>
                </m:r>
              </m:sub>
            </m:sSub>
          </m:den>
        </m:f>
      </m:oMath>
      <w:r>
        <w:rPr>
          <w:rFonts w:eastAsia="Times New Roman"/>
          <w:kern w:val="0"/>
          <w14:ligatures w14:val="none"/>
        </w:rPr>
        <w:t xml:space="preserve"> , if </w:t>
      </w:r>
      <w:r>
        <w:rPr/>
      </w:r>
      <m:oMath xmlns:m="http://schemas.openxmlformats.org/officeDocument/2006/math">
        <m:f>
          <m:num>
            <m:sSub>
              <m:e>
                <m:r>
                  <m:t xml:space="preserve">t</m:t>
                </m:r>
              </m:e>
              <m:sub>
                <m:r>
                  <m:t xml:space="preserve">c</m:t>
                </m:r>
              </m:sub>
            </m:sSub>
          </m:num>
          <m:den>
            <m:sSub>
              <m:e>
                <m:r>
                  <m:t xml:space="preserve">t</m:t>
                </m:r>
              </m:e>
              <m:sub>
                <m:r>
                  <m:t xml:space="preserve">s</m:t>
                </m:r>
              </m:sub>
            </m:sSub>
          </m:den>
        </m:f>
      </m:oMath>
      <w:r>
        <w:rPr>
          <w:rFonts w:eastAsia="Aptos"/>
          <w:kern w:val="0"/>
          <w14:ligatures w14:val="none"/>
        </w:rPr>
        <w:t xml:space="preserve"> &gt; 1 then cap f</w:t>
      </w:r>
      <w:r>
        <w:rPr>
          <w:rFonts w:eastAsia="Aptos"/>
          <w:kern w:val="0"/>
          <w:vertAlign w:val="subscript"/>
          <w14:ligatures w14:val="none"/>
        </w:rPr>
        <w:t>s1</w:t>
      </w:r>
      <w:r>
        <w:rPr>
          <w:rFonts w:eastAsia="Aptos"/>
          <w:kern w:val="0"/>
          <w14:ligatures w14:val="none"/>
        </w:rPr>
        <w:t xml:space="preserve"> to 1</w:t>
      </w:r>
    </w:p>
    <w:p>
      <w:pPr>
        <w:pStyle w:val="Normal"/>
        <w:spacing w:lineRule="auto" w:line="259"/>
        <w:rPr>
          <w:rFonts w:eastAsia="Aptos"/>
          <w:kern w:val="0"/>
          <w14:ligatures w14:val="none"/>
        </w:rPr>
      </w:pPr>
      <w:r>
        <w:rPr>
          <w:rFonts w:eastAsia="Aptos"/>
          <w:kern w:val="0"/>
          <w14:ligatures w14:val="none"/>
        </w:rPr>
        <w:t>f</w:t>
      </w:r>
      <w:r>
        <w:rPr>
          <w:rFonts w:eastAsia="Aptos"/>
          <w:kern w:val="0"/>
          <w:vertAlign w:val="subscript"/>
          <w14:ligatures w14:val="none"/>
        </w:rPr>
        <w:t>s2</w:t>
      </w:r>
      <w:r>
        <w:rPr>
          <w:rFonts w:eastAsia="Aptos"/>
          <w:kern w:val="0"/>
          <w14:ligatures w14:val="none"/>
        </w:rPr>
        <w:t xml:space="preserve"> =  </w:t>
      </w:r>
      <w:r>
        <w:rPr/>
      </w:r>
      <m:oMath xmlns:m="http://schemas.openxmlformats.org/officeDocument/2006/math">
        <m:f>
          <m:num>
            <m:sSub>
              <m:e>
                <m:r>
                  <m:t xml:space="preserve">t</m:t>
                </m:r>
              </m:e>
              <m:sub>
                <m:r>
                  <m:t xml:space="preserve">b</m:t>
                </m:r>
              </m:sub>
            </m:sSub>
          </m:num>
          <m:den>
            <m:sSub>
              <m:e>
                <m:r>
                  <m:t xml:space="preserve">t</m:t>
                </m:r>
              </m:e>
              <m:sub>
                <m:r>
                  <m:t xml:space="preserve">s</m:t>
                </m:r>
              </m:sub>
            </m:sSub>
          </m:den>
        </m:f>
      </m:oMath>
      <w:r>
        <w:rPr>
          <w:rFonts w:eastAsia="Times New Roman"/>
          <w:kern w:val="0"/>
          <w14:ligatures w14:val="none"/>
        </w:rPr>
        <w:t xml:space="preserve"> , if </w:t>
      </w:r>
      <w:r>
        <w:rPr/>
      </w:r>
      <m:oMath xmlns:m="http://schemas.openxmlformats.org/officeDocument/2006/math">
        <m:f>
          <m:num>
            <m:sSub>
              <m:e>
                <m:r>
                  <m:t xml:space="preserve">t</m:t>
                </m:r>
              </m:e>
              <m:sub>
                <m:r>
                  <m:t xml:space="preserve">b</m:t>
                </m:r>
              </m:sub>
            </m:sSub>
          </m:num>
          <m:den>
            <m:sSub>
              <m:e>
                <m:r>
                  <m:t xml:space="preserve">t</m:t>
                </m:r>
              </m:e>
              <m:sub>
                <m:r>
                  <m:t xml:space="preserve">s</m:t>
                </m:r>
              </m:sub>
            </m:sSub>
          </m:den>
        </m:f>
      </m:oMath>
      <w:r>
        <w:rPr>
          <w:rFonts w:eastAsia="Aptos"/>
          <w:kern w:val="0"/>
          <w14:ligatures w14:val="none"/>
        </w:rPr>
        <w:t xml:space="preserve"> &gt; 1 then cap f</w:t>
      </w:r>
      <w:r>
        <w:rPr>
          <w:rFonts w:eastAsia="Aptos"/>
          <w:kern w:val="0"/>
          <w:vertAlign w:val="subscript"/>
          <w14:ligatures w14:val="none"/>
        </w:rPr>
        <w:t>s2</w:t>
      </w:r>
      <w:r>
        <w:rPr>
          <w:rFonts w:eastAsia="Aptos"/>
          <w:kern w:val="0"/>
          <w14:ligatures w14:val="none"/>
        </w:rPr>
        <w:t xml:space="preserve"> to 1</w:t>
      </w:r>
    </w:p>
    <w:p>
      <w:pPr>
        <w:pStyle w:val="Normal"/>
        <w:spacing w:lineRule="auto" w:line="259"/>
        <w:rPr>
          <w:rFonts w:eastAsia="Aptos"/>
          <w:kern w:val="0"/>
          <w14:ligatures w14:val="none"/>
        </w:rPr>
      </w:pPr>
      <w:r>
        <w:rPr>
          <w:rFonts w:eastAsia="Aptos"/>
          <w:kern w:val="0"/>
          <w14:ligatures w14:val="none"/>
        </w:rPr>
        <w:t>f</w:t>
      </w:r>
      <w:r>
        <w:rPr>
          <w:rFonts w:eastAsia="Aptos"/>
          <w:kern w:val="0"/>
          <w:vertAlign w:val="subscript"/>
          <w14:ligatures w14:val="none"/>
        </w:rPr>
        <w:t>s3</w:t>
      </w:r>
      <w:r>
        <w:rPr>
          <w:rFonts w:eastAsia="Aptos"/>
          <w:kern w:val="0"/>
          <w14:ligatures w14:val="none"/>
        </w:rPr>
        <w:t xml:space="preserve"> =  </w:t>
      </w:r>
      <w:r>
        <w:rPr/>
      </w:r>
      <m:oMath xmlns:m="http://schemas.openxmlformats.org/officeDocument/2006/math">
        <m:f>
          <m:num>
            <m:sSub>
              <m:e>
                <m:r>
                  <m:t xml:space="preserve">t</m:t>
                </m:r>
              </m:e>
              <m:sub>
                <m:r>
                  <m:t xml:space="preserve">w</m:t>
                </m:r>
              </m:sub>
            </m:sSub>
          </m:num>
          <m:den>
            <m:sSub>
              <m:e>
                <m:r>
                  <m:t xml:space="preserve">t</m:t>
                </m:r>
              </m:e>
              <m:sub>
                <m:r>
                  <m:t xml:space="preserve">s</m:t>
                </m:r>
              </m:sub>
            </m:sSub>
          </m:den>
        </m:f>
      </m:oMath>
      <w:r>
        <w:rPr>
          <w:rFonts w:eastAsia="Times New Roman"/>
          <w:kern w:val="0"/>
          <w14:ligatures w14:val="none"/>
        </w:rPr>
        <w:t xml:space="preserve"> , if </w:t>
      </w:r>
      <w:r>
        <w:rPr/>
      </w:r>
      <m:oMath xmlns:m="http://schemas.openxmlformats.org/officeDocument/2006/math">
        <m:f>
          <m:num>
            <m:sSub>
              <m:e>
                <m:r>
                  <m:t xml:space="preserve">t</m:t>
                </m:r>
              </m:e>
              <m:sub>
                <m:r>
                  <m:t xml:space="preserve">w</m:t>
                </m:r>
              </m:sub>
            </m:sSub>
          </m:num>
          <m:den>
            <m:sSub>
              <m:e>
                <m:r>
                  <m:t xml:space="preserve">t</m:t>
                </m:r>
              </m:e>
              <m:sub>
                <m:r>
                  <m:t xml:space="preserve">s</m:t>
                </m:r>
              </m:sub>
            </m:sSub>
          </m:den>
        </m:f>
      </m:oMath>
      <w:r>
        <w:rPr>
          <w:rFonts w:eastAsia="Aptos"/>
          <w:kern w:val="0"/>
          <w14:ligatures w14:val="none"/>
        </w:rPr>
        <w:t xml:space="preserve"> &gt; 1 then cap f</w:t>
      </w:r>
      <w:r>
        <w:rPr>
          <w:rFonts w:eastAsia="Aptos"/>
          <w:kern w:val="0"/>
          <w:vertAlign w:val="subscript"/>
          <w14:ligatures w14:val="none"/>
        </w:rPr>
        <w:t>s3</w:t>
      </w:r>
      <w:r>
        <w:rPr>
          <w:rFonts w:eastAsia="Aptos"/>
          <w:kern w:val="0"/>
          <w14:ligatures w14:val="none"/>
        </w:rPr>
        <w:t xml:space="preserve"> to 1</w:t>
      </w:r>
    </w:p>
    <w:p>
      <w:pPr>
        <w:pStyle w:val="Normal"/>
        <w:spacing w:lineRule="auto" w:line="259"/>
        <w:rPr>
          <w:rFonts w:eastAsia="Aptos"/>
          <w:kern w:val="0"/>
          <w14:ligatures w14:val="none"/>
        </w:rPr>
      </w:pPr>
      <w:r>
        <w:rPr>
          <w:rFonts w:eastAsia="Aptos"/>
          <w:kern w:val="0"/>
          <w14:ligatures w14:val="none"/>
        </w:rPr>
        <w:t>f</w:t>
      </w:r>
      <w:r>
        <w:rPr>
          <w:rFonts w:eastAsia="Aptos"/>
          <w:kern w:val="0"/>
          <w:vertAlign w:val="subscript"/>
          <w14:ligatures w14:val="none"/>
        </w:rPr>
        <w:t>s4</w:t>
      </w:r>
      <w:r>
        <w:rPr>
          <w:rFonts w:eastAsia="Aptos"/>
          <w:kern w:val="0"/>
          <w14:ligatures w14:val="none"/>
        </w:rPr>
        <w:t xml:space="preserve"> =  </w:t>
      </w:r>
      <w:r>
        <w:rPr/>
      </w:r>
      <m:oMath xmlns:m="http://schemas.openxmlformats.org/officeDocument/2006/math">
        <m:f>
          <m:num>
            <m:sSub>
              <m:e>
                <m:r>
                  <m:t xml:space="preserve">t</m:t>
                </m:r>
              </m:e>
              <m:sub>
                <m:r>
                  <m:t xml:space="preserve">pt</m:t>
                </m:r>
              </m:sub>
            </m:sSub>
          </m:num>
          <m:den>
            <m:sSub>
              <m:e>
                <m:r>
                  <m:t xml:space="preserve">t</m:t>
                </m:r>
              </m:e>
              <m:sub>
                <m:r>
                  <m:t xml:space="preserve">s</m:t>
                </m:r>
              </m:sub>
            </m:sSub>
          </m:den>
        </m:f>
      </m:oMath>
      <w:r>
        <w:rPr>
          <w:rFonts w:eastAsia="Times New Roman"/>
          <w:kern w:val="0"/>
          <w14:ligatures w14:val="none"/>
        </w:rPr>
        <w:t xml:space="preserve"> , if </w:t>
      </w:r>
      <w:r>
        <w:rPr/>
      </w:r>
      <m:oMath xmlns:m="http://schemas.openxmlformats.org/officeDocument/2006/math">
        <m:f>
          <m:num>
            <m:sSub>
              <m:e>
                <m:r>
                  <m:t xml:space="preserve">t</m:t>
                </m:r>
              </m:e>
              <m:sub>
                <m:r>
                  <m:t xml:space="preserve">pt</m:t>
                </m:r>
              </m:sub>
            </m:sSub>
          </m:num>
          <m:den>
            <m:sSub>
              <m:e>
                <m:r>
                  <m:t xml:space="preserve">t</m:t>
                </m:r>
              </m:e>
              <m:sub>
                <m:r>
                  <m:t xml:space="preserve">s</m:t>
                </m:r>
              </m:sub>
            </m:sSub>
          </m:den>
        </m:f>
      </m:oMath>
      <w:r>
        <w:rPr>
          <w:rFonts w:eastAsia="Aptos"/>
          <w:kern w:val="0"/>
          <w14:ligatures w14:val="none"/>
        </w:rPr>
        <w:t xml:space="preserve"> &gt; 1 then cap f</w:t>
      </w:r>
      <w:r>
        <w:rPr>
          <w:rFonts w:eastAsia="Aptos"/>
          <w:kern w:val="0"/>
          <w:vertAlign w:val="subscript"/>
          <w14:ligatures w14:val="none"/>
        </w:rPr>
        <w:t>s4</w:t>
      </w:r>
      <w:r>
        <w:rPr>
          <w:rFonts w:eastAsia="Aptos"/>
          <w:kern w:val="0"/>
          <w14:ligatures w14:val="none"/>
        </w:rPr>
        <w:t xml:space="preserve"> to 1</w:t>
      </w:r>
    </w:p>
    <w:p>
      <w:pPr>
        <w:pStyle w:val="Normal"/>
        <w:spacing w:lineRule="auto" w:line="259"/>
        <w:rPr>
          <w:rFonts w:eastAsia="Aptos"/>
          <w:kern w:val="0"/>
          <w:lang w:val="en-US"/>
          <w14:ligatures w14:val="none"/>
        </w:rPr>
      </w:pPr>
      <w:r>
        <w:rPr>
          <w:rFonts w:eastAsia="Aptos"/>
          <w:kern w:val="0"/>
          <w:lang w:val="en-US"/>
          <w14:ligatures w14:val="none"/>
        </w:rPr>
        <w:t>where t</w:t>
      </w:r>
      <w:r>
        <w:rPr>
          <w:rFonts w:eastAsia="Aptos"/>
          <w:kern w:val="0"/>
          <w:vertAlign w:val="subscript"/>
          <w:lang w:val="en-US"/>
          <w14:ligatures w14:val="none"/>
        </w:rPr>
        <w:t>c</w:t>
      </w:r>
      <w:r>
        <w:rPr>
          <w:rFonts w:eastAsia="Aptos"/>
          <w:kern w:val="0"/>
          <w:lang w:val="en-US"/>
          <w14:ligatures w14:val="none"/>
        </w:rPr>
        <w:t>, t</w:t>
      </w:r>
      <w:r>
        <w:rPr>
          <w:rFonts w:eastAsia="Aptos"/>
          <w:kern w:val="0"/>
          <w:vertAlign w:val="subscript"/>
          <w:lang w:val="en-US"/>
          <w14:ligatures w14:val="none"/>
        </w:rPr>
        <w:t>b</w:t>
      </w:r>
      <w:r>
        <w:rPr>
          <w:rFonts w:eastAsia="Aptos"/>
          <w:kern w:val="0"/>
          <w:lang w:val="en-US"/>
          <w14:ligatures w14:val="none"/>
        </w:rPr>
        <w:t>, t</w:t>
      </w:r>
      <w:r>
        <w:rPr>
          <w:rFonts w:eastAsia="Aptos"/>
          <w:kern w:val="0"/>
          <w:vertAlign w:val="subscript"/>
          <w:lang w:val="en-US"/>
          <w14:ligatures w14:val="none"/>
        </w:rPr>
        <w:t>s,</w:t>
      </w:r>
      <w:r>
        <w:rPr>
          <w:rFonts w:eastAsia="Aptos"/>
          <w:kern w:val="0"/>
          <w:lang w:val="en-US"/>
          <w14:ligatures w14:val="none"/>
        </w:rPr>
        <w:t xml:space="preserve"> t</w:t>
      </w:r>
      <w:r>
        <w:rPr>
          <w:rFonts w:eastAsia="Aptos"/>
          <w:kern w:val="0"/>
          <w:vertAlign w:val="subscript"/>
          <w:lang w:val="en-US"/>
          <w14:ligatures w14:val="none"/>
        </w:rPr>
        <w:t xml:space="preserve">w, </w:t>
      </w:r>
      <w:r>
        <w:rPr>
          <w:rFonts w:eastAsia="Aptos"/>
          <w:kern w:val="0"/>
          <w:lang w:val="en-US"/>
          <w14:ligatures w14:val="none"/>
        </w:rPr>
        <w:t>t</w:t>
      </w:r>
      <w:r>
        <w:rPr>
          <w:rFonts w:eastAsia="Aptos"/>
          <w:kern w:val="0"/>
          <w:vertAlign w:val="subscript"/>
          <w:lang w:val="en-US"/>
          <w14:ligatures w14:val="none"/>
        </w:rPr>
        <w:t xml:space="preserve">pt </w:t>
      </w:r>
      <w:r>
        <w:rPr>
          <w:rFonts w:eastAsia="Aptos"/>
          <w:kern w:val="0"/>
          <w:lang w:val="en-US"/>
          <w14:ligatures w14:val="none"/>
        </w:rPr>
        <w:t xml:space="preserve">correspond to the travel time that is needed with car, bike, scooter, walking and public transport for a trip from the origin to the destination of the specific historically preferred trip. </w:t>
      </w:r>
    </w:p>
    <w:p>
      <w:pPr>
        <w:pStyle w:val="Normal"/>
        <w:spacing w:lineRule="auto" w:line="259"/>
        <w:rPr>
          <w:rFonts w:eastAsia="Aptos"/>
          <w:kern w:val="0"/>
          <w14:ligatures w14:val="none"/>
        </w:rPr>
      </w:pPr>
      <w:r>
        <w:rPr>
          <w:rFonts w:eastAsia="Aptos"/>
          <w:kern w:val="0"/>
          <w14:ligatures w14:val="none"/>
        </w:rPr>
        <w:t>Step 2: calculate adaptation factors for each user</w:t>
      </w:r>
    </w:p>
    <w:p>
      <w:pPr>
        <w:pStyle w:val="Normal"/>
        <w:spacing w:lineRule="auto" w:line="259"/>
        <w:rPr>
          <w:rFonts w:eastAsia="Times New Roman"/>
          <w:kern w:val="0"/>
          <w:lang w:val="en-US"/>
          <w14:ligatures w14:val="none"/>
        </w:rPr>
      </w:pPr>
      <w:r>
        <w:rPr>
          <w:rFonts w:eastAsia="Aptos"/>
          <w:kern w:val="0"/>
          <w:lang w:val="en-US"/>
          <w14:ligatures w14:val="none"/>
        </w:rPr>
        <w:t>f</w:t>
      </w:r>
      <w:r>
        <w:rPr>
          <w:rFonts w:eastAsia="Aptos"/>
          <w:kern w:val="0"/>
          <w:vertAlign w:val="subscript"/>
          <w:lang w:val="en-US"/>
          <w14:ligatures w14:val="none"/>
        </w:rPr>
        <w:t>ci</w:t>
      </w:r>
      <w:r>
        <w:rPr>
          <w:rFonts w:eastAsia="Aptos"/>
          <w:kern w:val="0"/>
          <w:lang w:val="en-US"/>
          <w14:ligatures w14:val="none"/>
        </w:rPr>
        <w:t xml:space="preserve"> = </w:t>
      </w:r>
      <w:r>
        <w:rPr/>
      </w:r>
      <m:oMath xmlns:m="http://schemas.openxmlformats.org/officeDocument/2006/math">
        <m:f>
          <m:num>
            <m:nary>
              <m:naryPr>
                <m:chr m:val="∑"/>
              </m:naryPr>
              <m:sub>
                <m:r>
                  <m:t xml:space="preserve">j</m:t>
                </m:r>
                <m:r>
                  <m:rPr>
                    <m:lit/>
                    <m:nor/>
                  </m:rPr>
                  <m:t xml:space="preserve">=</m:t>
                </m:r>
                <m:r>
                  <m:t xml:space="preserve">1</m:t>
                </m:r>
              </m:sub>
              <m:sup>
                <m:r>
                  <m:t xml:space="preserve">n</m:t>
                </m:r>
              </m:sup>
              <m:e>
                <m:r>
                  <m:t xml:space="preserve">(</m:t>
                </m:r>
                <m:r>
                  <m:t xml:space="preserve">f</m:t>
                </m:r>
                <m:r>
                  <m:t xml:space="preserve">c</m:t>
                </m:r>
                <m:r>
                  <m:t xml:space="preserve">1</m:t>
                </m:r>
                <m:r>
                  <m:t xml:space="preserve">j</m:t>
                </m:r>
                <m:r>
                  <m:rPr>
                    <m:lit/>
                    <m:nor/>
                  </m:rPr>
                  <m:t xml:space="preserve">+</m:t>
                </m:r>
                <m:r>
                  <m:t xml:space="preserve">fc</m:t>
                </m:r>
                <m:r>
                  <m:t xml:space="preserve">2</m:t>
                </m:r>
                <m:r>
                  <m:t xml:space="preserve">j</m:t>
                </m:r>
                <m:r>
                  <m:rPr>
                    <m:lit/>
                    <m:nor/>
                  </m:rPr>
                  <m:t xml:space="preserve">+</m:t>
                </m:r>
                <m:r>
                  <m:t xml:space="preserve">fc</m:t>
                </m:r>
                <m:r>
                  <m:t xml:space="preserve">3</m:t>
                </m:r>
                <m:r>
                  <m:t xml:space="preserve">j</m:t>
                </m:r>
                <m:r>
                  <m:rPr>
                    <m:lit/>
                    <m:nor/>
                  </m:rPr>
                  <m:t xml:space="preserve">+</m:t>
                </m:r>
                <m:r>
                  <m:t xml:space="preserve">fc</m:t>
                </m:r>
                <m:r>
                  <m:t xml:space="preserve">4</m:t>
                </m:r>
                <m:r>
                  <m:t xml:space="preserve">j</m:t>
                </m:r>
                <m:r>
                  <m:t xml:space="preserve">)</m:t>
                </m:r>
              </m:e>
            </m:nary>
          </m:num>
          <m:den>
            <m:r>
              <m:t xml:space="preserve">n</m:t>
            </m:r>
          </m:den>
        </m:f>
      </m:oMath>
      <w:r>
        <w:rPr>
          <w:rFonts w:eastAsia="Times New Roman"/>
          <w:kern w:val="0"/>
          <w:lang w:val="en-US"/>
          <w14:ligatures w14:val="none"/>
        </w:rPr>
        <w:t xml:space="preserve"> </w:t>
      </w:r>
    </w:p>
    <w:p>
      <w:pPr>
        <w:pStyle w:val="Normal"/>
        <w:spacing w:lineRule="auto" w:line="259"/>
        <w:rPr>
          <w:rFonts w:eastAsia="Aptos"/>
          <w:kern w:val="0"/>
          <w:lang w:val="de-DE"/>
          <w14:ligatures w14:val="none"/>
        </w:rPr>
      </w:pPr>
      <w:r>
        <w:rPr>
          <w:rFonts w:eastAsia="Aptos"/>
          <w:kern w:val="0"/>
          <w:lang w:val="de-DE"/>
          <w14:ligatures w14:val="none"/>
        </w:rPr>
        <w:t>f</w:t>
      </w:r>
      <w:r>
        <w:rPr>
          <w:rFonts w:eastAsia="Aptos"/>
          <w:kern w:val="0"/>
          <w:vertAlign w:val="subscript"/>
          <w:lang w:val="de-DE"/>
          <w14:ligatures w14:val="none"/>
        </w:rPr>
        <w:t>bi</w:t>
      </w:r>
      <w:r>
        <w:rPr>
          <w:rFonts w:eastAsia="Aptos"/>
          <w:kern w:val="0"/>
          <w:lang w:val="de-DE"/>
          <w14:ligatures w14:val="none"/>
        </w:rPr>
        <w:t xml:space="preserve"> = </w:t>
      </w:r>
      <w:r>
        <w:rPr/>
      </w:r>
      <m:oMath xmlns:m="http://schemas.openxmlformats.org/officeDocument/2006/math">
        <m:f>
          <m:num>
            <m:nary>
              <m:naryPr>
                <m:chr m:val="∑"/>
              </m:naryPr>
              <m:sub>
                <m:r>
                  <m:t xml:space="preserve">j</m:t>
                </m:r>
                <m:r>
                  <m:rPr>
                    <m:lit/>
                    <m:nor/>
                  </m:rPr>
                  <m:t xml:space="preserve">=</m:t>
                </m:r>
                <m:r>
                  <m:t xml:space="preserve">1</m:t>
                </m:r>
              </m:sub>
              <m:sup>
                <m:r>
                  <m:t xml:space="preserve">n</m:t>
                </m:r>
              </m:sup>
              <m:e>
                <m:r>
                  <m:t xml:space="preserve">(</m:t>
                </m:r>
                <m:r>
                  <m:t xml:space="preserve">f</m:t>
                </m:r>
                <m:r>
                  <m:t xml:space="preserve">b</m:t>
                </m:r>
                <m:r>
                  <m:t xml:space="preserve">1</m:t>
                </m:r>
                <m:r>
                  <m:t xml:space="preserve">j</m:t>
                </m:r>
                <m:r>
                  <m:rPr>
                    <m:lit/>
                    <m:nor/>
                  </m:rPr>
                  <m:t xml:space="preserve">+</m:t>
                </m:r>
                <m:r>
                  <m:t xml:space="preserve">fb</m:t>
                </m:r>
                <m:r>
                  <m:t xml:space="preserve">2</m:t>
                </m:r>
                <m:r>
                  <m:t xml:space="preserve">j</m:t>
                </m:r>
                <m:r>
                  <m:rPr>
                    <m:lit/>
                    <m:nor/>
                  </m:rPr>
                  <m:t xml:space="preserve">+</m:t>
                </m:r>
                <m:r>
                  <m:t xml:space="preserve">fb</m:t>
                </m:r>
                <m:r>
                  <m:t xml:space="preserve">3</m:t>
                </m:r>
                <m:r>
                  <m:t xml:space="preserve">j</m:t>
                </m:r>
                <m:r>
                  <m:rPr>
                    <m:lit/>
                    <m:nor/>
                  </m:rPr>
                  <m:t xml:space="preserve">+</m:t>
                </m:r>
                <m:r>
                  <m:t xml:space="preserve">fb</m:t>
                </m:r>
                <m:r>
                  <m:t xml:space="preserve">4</m:t>
                </m:r>
                <m:r>
                  <m:t xml:space="preserve">j</m:t>
                </m:r>
                <m:r>
                  <m:t xml:space="preserve">)</m:t>
                </m:r>
              </m:e>
            </m:nary>
          </m:num>
          <m:den>
            <m:r>
              <m:t xml:space="preserve">n</m:t>
            </m:r>
          </m:den>
        </m:f>
      </m:oMath>
      <w:r>
        <w:rPr>
          <w:rFonts w:eastAsia="Times New Roman"/>
          <w:kern w:val="0"/>
          <w:lang w:val="de-DE"/>
          <w14:ligatures w14:val="none"/>
        </w:rPr>
        <w:t xml:space="preserve"> </w:t>
      </w:r>
    </w:p>
    <w:p>
      <w:pPr>
        <w:pStyle w:val="Normal"/>
        <w:spacing w:lineRule="auto" w:line="259"/>
        <w:rPr>
          <w:rFonts w:eastAsia="Aptos"/>
          <w:kern w:val="0"/>
          <w:lang w:val="nb-NO"/>
          <w14:ligatures w14:val="none"/>
        </w:rPr>
      </w:pPr>
      <w:r>
        <w:rPr>
          <w:rFonts w:eastAsia="Aptos"/>
          <w:kern w:val="0"/>
          <w:lang w:val="nb-NO"/>
          <w14:ligatures w14:val="none"/>
        </w:rPr>
        <w:t>f</w:t>
      </w:r>
      <w:r>
        <w:rPr>
          <w:rFonts w:eastAsia="Aptos"/>
          <w:kern w:val="0"/>
          <w:vertAlign w:val="subscript"/>
          <w:lang w:val="nb-NO"/>
          <w14:ligatures w14:val="none"/>
        </w:rPr>
        <w:t>si</w:t>
      </w:r>
      <w:r>
        <w:rPr>
          <w:rFonts w:eastAsia="Aptos"/>
          <w:kern w:val="0"/>
          <w:lang w:val="nb-NO"/>
          <w14:ligatures w14:val="none"/>
        </w:rPr>
        <w:t xml:space="preserve"> = </w:t>
      </w:r>
      <w:r>
        <w:rPr/>
      </w:r>
      <m:oMath xmlns:m="http://schemas.openxmlformats.org/officeDocument/2006/math">
        <m:f>
          <m:num>
            <m:nary>
              <m:naryPr>
                <m:chr m:val="∑"/>
              </m:naryPr>
              <m:sub>
                <m:r>
                  <m:t xml:space="preserve">j</m:t>
                </m:r>
                <m:r>
                  <m:rPr>
                    <m:lit/>
                    <m:nor/>
                  </m:rPr>
                  <m:t xml:space="preserve">=</m:t>
                </m:r>
                <m:r>
                  <m:t xml:space="preserve">1</m:t>
                </m:r>
              </m:sub>
              <m:sup>
                <m:r>
                  <m:t xml:space="preserve">n</m:t>
                </m:r>
              </m:sup>
              <m:e>
                <m:r>
                  <m:t xml:space="preserve">(</m:t>
                </m:r>
                <m:r>
                  <m:t xml:space="preserve">f</m:t>
                </m:r>
                <m:r>
                  <m:t xml:space="preserve">s</m:t>
                </m:r>
                <m:r>
                  <m:t xml:space="preserve">1</m:t>
                </m:r>
                <m:r>
                  <m:t xml:space="preserve">j</m:t>
                </m:r>
                <m:r>
                  <m:rPr>
                    <m:lit/>
                    <m:nor/>
                  </m:rPr>
                  <m:t xml:space="preserve">+</m:t>
                </m:r>
                <m:r>
                  <m:t xml:space="preserve">fs</m:t>
                </m:r>
                <m:r>
                  <m:t xml:space="preserve">2</m:t>
                </m:r>
                <m:r>
                  <m:t xml:space="preserve">j</m:t>
                </m:r>
                <m:r>
                  <m:rPr>
                    <m:lit/>
                    <m:nor/>
                  </m:rPr>
                  <m:t xml:space="preserve">+</m:t>
                </m:r>
                <m:r>
                  <m:t xml:space="preserve">fs</m:t>
                </m:r>
                <m:r>
                  <m:t xml:space="preserve">3</m:t>
                </m:r>
                <m:r>
                  <m:t xml:space="preserve">j</m:t>
                </m:r>
                <m:r>
                  <m:rPr>
                    <m:lit/>
                    <m:nor/>
                  </m:rPr>
                  <m:t xml:space="preserve">+</m:t>
                </m:r>
                <m:r>
                  <m:t xml:space="preserve">fs</m:t>
                </m:r>
                <m:r>
                  <m:t xml:space="preserve">4</m:t>
                </m:r>
                <m:r>
                  <m:t xml:space="preserve">j</m:t>
                </m:r>
                <m:r>
                  <m:t xml:space="preserve">)</m:t>
                </m:r>
              </m:e>
            </m:nary>
          </m:num>
          <m:den>
            <m:r>
              <m:t xml:space="preserve">n</m:t>
            </m:r>
          </m:den>
        </m:f>
      </m:oMath>
      <w:r>
        <w:rPr>
          <w:rFonts w:eastAsia="Times New Roman"/>
          <w:kern w:val="0"/>
          <w:lang w:val="nb-NO"/>
          <w14:ligatures w14:val="none"/>
        </w:rPr>
        <w:t xml:space="preserve"> </w:t>
      </w:r>
    </w:p>
    <w:p>
      <w:pPr>
        <w:pStyle w:val="Normal"/>
        <w:spacing w:lineRule="auto" w:line="259"/>
        <w:rPr>
          <w:rFonts w:eastAsia="Aptos"/>
          <w:kern w:val="0"/>
          <w:lang w:val="en-US"/>
          <w14:ligatures w14:val="none"/>
        </w:rPr>
      </w:pPr>
      <w:r>
        <w:rPr>
          <w:rFonts w:eastAsia="Aptos"/>
          <w:kern w:val="0"/>
          <w:lang w:val="en-US"/>
          <w14:ligatures w14:val="none"/>
        </w:rPr>
        <w:t>where n is the number of trips that the user</w:t>
      </w:r>
      <w:r>
        <w:rPr>
          <w:rFonts w:eastAsia="Aptos"/>
          <w:i/>
          <w:kern w:val="0"/>
          <w:lang w:val="en-US"/>
          <w14:ligatures w14:val="none"/>
        </w:rPr>
        <w:t xml:space="preserve"> i</w:t>
      </w:r>
      <w:r>
        <w:rPr>
          <w:rFonts w:eastAsia="Aptos"/>
          <w:kern w:val="0"/>
          <w:lang w:val="en-US"/>
          <w14:ligatures w14:val="none"/>
        </w:rPr>
        <w:t xml:space="preserve"> carried out with the specific mode. </w:t>
      </w:r>
    </w:p>
    <w:p>
      <w:pPr>
        <w:pStyle w:val="Normal"/>
        <w:spacing w:lineRule="auto" w:line="259"/>
        <w:rPr>
          <w:rFonts w:eastAsia="Aptos"/>
          <w:b/>
          <w:kern w:val="0"/>
          <w14:ligatures w14:val="none"/>
        </w:rPr>
      </w:pPr>
      <w:r>
        <w:rPr>
          <w:rFonts w:eastAsia="Aptos"/>
          <w:b/>
          <w:kern w:val="0"/>
          <w14:ligatures w14:val="none"/>
        </w:rPr>
        <w:t>Car Routing algorithm to minimize environmental air pollution exposure (TBD)</w:t>
      </w:r>
    </w:p>
    <w:p>
      <w:pPr>
        <w:pStyle w:val="Normal"/>
        <w:spacing w:lineRule="auto" w:line="259"/>
        <w:rPr>
          <w:rFonts w:eastAsia="Aptos"/>
          <w:kern w:val="0"/>
          <w:lang w:val="en-US"/>
          <w14:ligatures w14:val="none"/>
        </w:rPr>
      </w:pPr>
      <w:r>
        <w:rPr>
          <w:rFonts w:eastAsia="Aptos"/>
          <w:kern w:val="0"/>
          <w:lang w:val="en-US"/>
          <w14:ligatures w14:val="none"/>
        </w:rPr>
        <w:t xml:space="preserve">OTP's car mode primarily optimizes for distance and time using static OSM road data without native support for dynamic factors like air quality zones or low-emission restrictions, critical factors for sustainable urban mobility in dense Greek cities. For this reason, in the case of car routing, the aggregation service will be set to bypass OpenTripPlanner entirely in favor of a custom-developed solution to be integrated directly at the service layer. </w:t>
      </w:r>
    </w:p>
    <w:p>
      <w:pPr>
        <w:pStyle w:val="Normal"/>
        <w:spacing w:lineRule="auto" w:line="259"/>
        <w:rPr>
          <w:rFonts w:eastAsia="Aptos"/>
          <w:kern w:val="0"/>
          <w14:ligatures w14:val="none"/>
        </w:rPr>
      </w:pPr>
      <w:r>
        <w:rPr>
          <w:rFonts w:eastAsia="Aptos"/>
          <w:kern w:val="0"/>
          <w14:ligatures w14:val="none"/>
        </w:rPr>
        <w:t>This alternative car routing algorithm computes vehicle routes that account for both travel distance and environmental air pollution exposure. The method combines road network topology with spatially resolved environmental data to construct a weighted graph representation suitable for environmentally aware routing.</w:t>
      </w:r>
    </w:p>
    <w:p>
      <w:pPr>
        <w:pStyle w:val="Normal"/>
        <w:spacing w:lineRule="auto" w:line="259"/>
        <w:rPr>
          <w:rFonts w:eastAsia="Aptos"/>
          <w:kern w:val="0"/>
          <w:lang w:val="en-US"/>
          <w14:ligatures w14:val="none"/>
        </w:rPr>
      </w:pPr>
      <w:r>
        <w:rPr>
          <w:rFonts w:eastAsia="Aptos"/>
          <w:kern w:val="0"/>
          <w:lang w:val="en-US"/>
          <w14:ligatures w14:val="none"/>
        </w:rPr>
        <w:t>The road network of Thessaloniki was obtained from OpenStreetMap using the OSMnx Python library. During the download process, OSMnx automatically performs the necessary topological preprocessing to construct a routable graph representation. This includes identifying intersections, generating graph nodes and edges, standardizing geometries, and enforcing consistent connectivity. The resulting structure is a fully connected node–edge graph suitable for shortest-path computations. This graph forms the foundation of the routing algorithm by providing the network topology over which shortest-path computations are performed.</w:t>
      </w:r>
    </w:p>
    <w:p>
      <w:pPr>
        <w:pStyle w:val="Normal"/>
        <w:spacing w:lineRule="auto" w:line="259"/>
        <w:rPr>
          <w:rFonts w:eastAsia="Aptos"/>
          <w:kern w:val="0"/>
          <w:lang w:val="en-US"/>
          <w14:ligatures w14:val="none"/>
        </w:rPr>
      </w:pPr>
      <w:r>
        <w:rPr>
          <w:rFonts w:eastAsia="Aptos"/>
          <w:kern w:val="0"/>
          <w:lang w:val="en-US"/>
          <w14:ligatures w14:val="none"/>
        </w:rPr>
        <w:t>Environmental pollution data are provided by the Aristotle University of Thessaloniki at hourly temporal resolution. These datasets consist of raster maps (GeoTIFF format) representing the spatial distribution of major air pollutants, including PM</w:t>
      </w:r>
      <w:r>
        <w:rPr>
          <w:rFonts w:eastAsia="Aptos"/>
          <w:kern w:val="0"/>
          <w:vertAlign w:val="subscript"/>
          <w:lang w:val="en-US"/>
          <w14:ligatures w14:val="none"/>
        </w:rPr>
        <w:t>2.5</w:t>
      </w:r>
      <w:r>
        <w:rPr>
          <w:rFonts w:eastAsia="Aptos"/>
          <w:kern w:val="0"/>
          <w:lang w:val="en-US"/>
          <w14:ligatures w14:val="none"/>
        </w:rPr>
        <w:t>, PM</w:t>
      </w:r>
      <w:r>
        <w:rPr>
          <w:rFonts w:eastAsia="Aptos"/>
          <w:kern w:val="0"/>
          <w:vertAlign w:val="subscript"/>
          <w:lang w:val="en-US"/>
          <w14:ligatures w14:val="none"/>
        </w:rPr>
        <w:t>10</w:t>
      </w:r>
      <w:r>
        <w:rPr>
          <w:rFonts w:eastAsia="Aptos"/>
          <w:kern w:val="0"/>
          <w:lang w:val="en-US"/>
          <w14:ligatures w14:val="none"/>
        </w:rPr>
        <w:t>, NO</w:t>
      </w:r>
      <w:r>
        <w:rPr>
          <w:rFonts w:eastAsia="Aptos"/>
          <w:kern w:val="0"/>
          <w:vertAlign w:val="subscript"/>
          <w:lang w:val="en-US"/>
          <w14:ligatures w14:val="none"/>
        </w:rPr>
        <w:t>2</w:t>
      </w:r>
      <w:r>
        <w:rPr>
          <w:rFonts w:eastAsia="Aptos"/>
          <w:kern w:val="0"/>
          <w:lang w:val="en-US"/>
          <w14:ligatures w14:val="none"/>
        </w:rPr>
        <w:t>, O</w:t>
      </w:r>
      <w:r>
        <w:rPr>
          <w:rFonts w:eastAsia="Aptos"/>
          <w:kern w:val="0"/>
          <w:vertAlign w:val="subscript"/>
          <w:lang w:val="en-US"/>
          <w14:ligatures w14:val="none"/>
        </w:rPr>
        <w:t>3</w:t>
      </w:r>
      <w:r>
        <w:rPr>
          <w:rFonts w:eastAsia="Aptos"/>
          <w:kern w:val="0"/>
          <w:lang w:val="en-US"/>
          <w14:ligatures w14:val="none"/>
        </w:rPr>
        <w:t>, and CO. All raster layers share a common coordinate reference system and spatial resolution, ensuring direct spatial compatibility with the road network. The pollutant concentration fields for PM</w:t>
      </w:r>
      <w:r>
        <w:rPr>
          <w:rFonts w:eastAsia="Aptos"/>
          <w:kern w:val="0"/>
          <w:vertAlign w:val="subscript"/>
          <w:lang w:val="en-US"/>
          <w14:ligatures w14:val="none"/>
        </w:rPr>
        <w:t>2.5</w:t>
      </w:r>
      <w:r>
        <w:rPr>
          <w:rFonts w:eastAsia="Aptos"/>
          <w:kern w:val="0"/>
          <w:lang w:val="en-US"/>
          <w14:ligatures w14:val="none"/>
        </w:rPr>
        <w:t>, PM</w:t>
      </w:r>
      <w:r>
        <w:rPr>
          <w:rFonts w:eastAsia="Aptos"/>
          <w:kern w:val="0"/>
          <w:vertAlign w:val="subscript"/>
          <w:lang w:val="en-US"/>
          <w14:ligatures w14:val="none"/>
        </w:rPr>
        <w:t>10</w:t>
      </w:r>
      <w:r>
        <w:rPr>
          <w:rFonts w:eastAsia="Aptos"/>
          <w:kern w:val="0"/>
          <w:lang w:val="en-US"/>
          <w14:ligatures w14:val="none"/>
        </w:rPr>
        <w:t>, NO</w:t>
      </w:r>
      <w:r>
        <w:rPr>
          <w:rFonts w:eastAsia="Aptos"/>
          <w:kern w:val="0"/>
          <w:vertAlign w:val="subscript"/>
          <w:lang w:val="en-US"/>
          <w14:ligatures w14:val="none"/>
        </w:rPr>
        <w:t>2</w:t>
      </w:r>
      <w:r>
        <w:rPr>
          <w:rFonts w:eastAsia="Aptos"/>
          <w:kern w:val="0"/>
          <w:lang w:val="en-US"/>
          <w14:ligatures w14:val="none"/>
        </w:rPr>
        <w:t>, and O</w:t>
      </w:r>
      <w:r>
        <w:rPr>
          <w:rFonts w:eastAsia="Aptos"/>
          <w:kern w:val="0"/>
          <w:vertAlign w:val="subscript"/>
          <w:lang w:val="en-US"/>
          <w14:ligatures w14:val="none"/>
        </w:rPr>
        <w:t>3</w:t>
      </w:r>
      <w:r>
        <w:rPr>
          <w:rFonts w:eastAsia="Aptos"/>
          <w:kern w:val="0"/>
          <w:lang w:val="en-US"/>
          <w14:ligatures w14:val="none"/>
        </w:rPr>
        <w:t xml:space="preserve"> are additionally used to compute a continuous Air Quality Index (AQI) compatible with the European Air Quality Index (EAQI) framework. While the official EAQI is defined using discrete concentration thresholds and categorical classes, the routing service employs a continuous surrogate index that preserves the EAQI structure while ensuring continuity of the cost surface required for routing.</w:t>
      </w:r>
    </w:p>
    <w:p>
      <w:pPr>
        <w:pStyle w:val="Normal"/>
        <w:spacing w:lineRule="auto" w:line="259"/>
        <w:rPr>
          <w:rFonts w:eastAsia="Aptos"/>
          <w:kern w:val="0"/>
          <w:lang w:val="en-US"/>
          <w14:ligatures w14:val="none"/>
        </w:rPr>
      </w:pPr>
      <w:r>
        <w:rPr>
          <w:rFonts w:eastAsia="Aptos"/>
          <w:kern w:val="0"/>
          <w:lang w:val="en-US"/>
          <w14:ligatures w14:val="none"/>
        </w:rPr>
        <w:t>Pollutant concentrations and AQI values are assigned to the road network by spatially sampling the raster fields at node locations. For each environmental indicator, the value at a node is defined as the value of the raster cell whose center is geographically closest to the node coordinates. For each edge connecting two adjacent nodes, a representative indicator value is computed as the arithmetic mean of the values at its endpoints. The geometric length of each edge is obtained directly from the attributes generated by OSMnx, which calculates and stores edge lengths during graph construction. Environmental exposure along each road segment is then quantified by defining an exposure cost equal to the product of the representative indicator value and the edge length. These exposure costs are assigned as edge weights in the routing graph and form the basis for environmentally aware car routing, enabling the computation of paths that minimize pollution exposure in addition to or instead of travel distance. In cases where indicator values exceed predefined thresholds, additional penalties may be applied to the corresponding nodes or edges by increasing their traversal cost, thereby reducing the likelihood that routing paths will pass through highly polluted areas while preserving overall network connectivity.</w:t>
      </w:r>
    </w:p>
    <w:p>
      <w:pPr>
        <w:pStyle w:val="Normal"/>
        <w:spacing w:lineRule="auto" w:line="259"/>
        <w:rPr>
          <w:rFonts w:eastAsia="Aptos"/>
          <w:kern w:val="0"/>
          <w:lang w:val="en-US"/>
          <w14:ligatures w14:val="none"/>
        </w:rPr>
      </w:pPr>
      <w:r>
        <w:rPr>
          <w:rFonts w:eastAsia="Aptos"/>
          <w:kern w:val="0"/>
          <w:lang w:val="en-US"/>
          <w14:ligatures w14:val="none"/>
        </w:rPr>
        <w:t>The routing problem is formulated as a shortest-path optimization on the weighted graph, where edge weights represent environmental exposure cost, geometric distance, or a configurable combination of both. Shortest paths are computed using Dijkstra’s algorithm, which guarantees optimal solutions for graphs with non-negative edge weights. This formulation supports environmentally aware car routing, allowing the selection of routes that minimize exposure to air pollution, either in addition to or instead of travel distance.</w:t>
      </w:r>
    </w:p>
    <w:p>
      <w:pPr>
        <w:pStyle w:val="Normal"/>
        <w:rPr/>
      </w:pPr>
      <w:r>
        <w:rPr/>
      </w:r>
    </w:p>
    <w:p>
      <w:pPr>
        <w:pStyle w:val="Heading1"/>
        <w:rPr>
          <w:rFonts w:eastAsia="Arial"/>
          <w:i/>
          <w:iCs/>
          <w:color w:val="595959"/>
          <w:sz w:val="20"/>
          <w:szCs w:val="20"/>
        </w:rPr>
      </w:pPr>
      <w:bookmarkStart w:id="82" w:name="_Toc222840430"/>
      <w:bookmarkStart w:id="83" w:name="_Toc226020139"/>
      <w:bookmarkStart w:id="84" w:name="_Toc226016124"/>
      <w:bookmarkStart w:id="85" w:name="_Toc1403141695"/>
      <w:r>
        <w:rPr/>
        <w:t>3. AI Algorithms</w:t>
      </w:r>
      <w:bookmarkEnd w:id="83"/>
      <w:bookmarkEnd w:id="84"/>
      <w:bookmarkEnd w:id="85"/>
      <w:r>
        <w:rPr/>
        <w:t xml:space="preserve"> </w:t>
      </w:r>
      <w:bookmarkEnd w:id="82"/>
    </w:p>
    <w:p>
      <w:pPr>
        <w:pStyle w:val="Heading2"/>
        <w:rPr/>
      </w:pPr>
      <w:bookmarkStart w:id="86" w:name="_Toc226020140"/>
      <w:bookmarkStart w:id="87" w:name="_Toc226016125"/>
      <w:bookmarkStart w:id="88" w:name="_Toc1898724054"/>
      <w:r>
        <w:rPr/>
        <w:t>3.1 Objective and solution architecture</w:t>
      </w:r>
      <w:bookmarkEnd w:id="86"/>
      <w:bookmarkEnd w:id="87"/>
      <w:bookmarkEnd w:id="88"/>
    </w:p>
    <w:p>
      <w:pPr>
        <w:pStyle w:val="Normal"/>
        <w:rPr/>
      </w:pPr>
      <w:r>
        <w:rPr>
          <w:lang w:val="en-US"/>
        </w:rPr>
        <w:t>The nudging module aims to reduce trip related CO₂ emissions by influencing how route alternatives are presented and described. The module operates on top of a multimodal trip planner. It assigns a behavioral nudge to each alternative and selects the presentation order of the alternatives in the user interface. It then provides these assignments to a Large Language Model module that generates short, personalized text for each alternative.</w:t>
      </w:r>
    </w:p>
    <w:p>
      <w:pPr>
        <w:pStyle w:val="Normal"/>
        <w:rPr/>
      </w:pPr>
      <w:r>
        <w:rPr>
          <w:lang w:val="en-US"/>
        </w:rPr>
        <w:t>The runtime sequence is as follows. A user provides an origin and a destination. The multimodal trip planner returns a finite set of feasible itineraries for the requested trip. The nudging optimizer selects one nudge category for each itinerary and selects the screen position of each itinerary, for example top, middle, or bottom. The selected configuration is passed to the LLM module together with the user profile and the itinerary attributes. The LLM module returns UI ready text under a fixed JSON schema.</w:t>
      </w:r>
    </w:p>
    <w:p>
      <w:pPr>
        <w:pStyle w:val="Normal"/>
        <w:keepNext w:val="true"/>
        <w:ind w:start="360"/>
        <w:rPr/>
      </w:pPr>
      <w:r>
        <w:rPr/>
        <w:drawing>
          <wp:inline distT="0" distB="0" distL="0" distR="0">
            <wp:extent cx="3964940" cy="2164080"/>
            <wp:effectExtent l="0" t="0" r="0" b="0"/>
            <wp:docPr id="10" name="Image5" descr="Εικόνα που περιέχει κείμενο, στιγμιότυπο οθόνης, γραμματοσειρά, αριθμός&#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 descr="Εικόνα που περιέχει κείμενο, στιγμιότυπο οθόνης, γραμματοσειρά, αριθμός&#10;&#10;Το περιεχόμενο που δημιουργείται από AI ενδέχεται να είναι εσφαλμένο."/>
                    <pic:cNvPicPr>
                      <a:picLocks noChangeAspect="1" noChangeArrowheads="1"/>
                    </pic:cNvPicPr>
                  </pic:nvPicPr>
                  <pic:blipFill>
                    <a:blip r:embed="rId19"/>
                    <a:stretch>
                      <a:fillRect/>
                    </a:stretch>
                  </pic:blipFill>
                  <pic:spPr bwMode="auto">
                    <a:xfrm>
                      <a:off x="0" y="0"/>
                      <a:ext cx="3964940" cy="2164080"/>
                    </a:xfrm>
                    <a:prstGeom prst="rect">
                      <a:avLst/>
                    </a:prstGeom>
                    <a:noFill/>
                  </pic:spPr>
                </pic:pic>
              </a:graphicData>
            </a:graphic>
          </wp:inline>
        </w:drawing>
      </w:r>
    </w:p>
    <w:p>
      <w:pPr>
        <w:pStyle w:val="Caption"/>
        <w:rPr/>
      </w:pPr>
      <w:bookmarkStart w:id="89" w:name="_Toc226020114"/>
      <w:r>
        <w:rPr/>
        <w:t xml:space="preserve">Figure </w:t>
      </w:r>
      <w:bookmarkEnd w:id="89"/>
      <w:r>
        <w:rPr/>
        <w:fldChar w:fldCharType="begin"/>
      </w:r>
      <w:r>
        <w:rPr/>
        <w:instrText xml:space="preserve"> SEQ Figure \* ARABIC </w:instrText>
      </w:r>
      <w:r>
        <w:rPr/>
        <w:fldChar w:fldCharType="separate"/>
      </w:r>
      <w:r>
        <w:rPr/>
        <w:t>6</w:t>
      </w:r>
      <w:r>
        <w:rPr/>
        <w:fldChar w:fldCharType="end"/>
      </w:r>
    </w:p>
    <w:p>
      <w:pPr>
        <w:pStyle w:val="Normal"/>
        <w:rPr>
          <w:b/>
        </w:rPr>
      </w:pPr>
      <w:r>
        <w:rPr>
          <w:b/>
        </w:rPr>
        <w:t>Input and data structures</w:t>
      </w:r>
    </w:p>
    <w:p>
      <w:pPr>
        <w:pStyle w:val="Normal"/>
        <w:rPr>
          <w:b/>
        </w:rPr>
      </w:pPr>
      <w:r>
        <w:rPr>
          <w:b/>
        </w:rPr>
        <w:t>Alternatives returned by the multimodal trip planner</w:t>
      </w:r>
    </w:p>
    <w:p>
      <w:pPr>
        <w:pStyle w:val="Normal"/>
        <w:rPr/>
      </w:pPr>
      <w:r>
        <w:rPr/>
        <w:t xml:space="preserve">For each trip request, the trip planner returns a small set of alternatives </w:t>
      </w:r>
      <w:r>
        <w:rPr/>
      </w:r>
      <m:oMath xmlns:m="http://schemas.openxmlformats.org/officeDocument/2006/math">
        <m:r>
          <m:t xml:space="preserve">I</m:t>
        </m:r>
      </m:oMath>
      <w:r>
        <w:rPr/>
        <w:t xml:space="preserve">, typically between three and six. Each alternative </w:t>
      </w:r>
      <w:r>
        <w:rPr/>
      </w:r>
      <m:oMath xmlns:m="http://schemas.openxmlformats.org/officeDocument/2006/math">
        <m:r>
          <m:t xml:space="preserve">i</m:t>
        </m:r>
        <m:r>
          <m:t xml:space="preserve">∈</m:t>
        </m:r>
        <m:r>
          <m:t xml:space="preserve">I</m:t>
        </m:r>
        <m:r>
          <m:rPr>
            <m:lit/>
            <m:nor/>
          </m:rPr>
          <m:t xml:space="preserve"> </m:t>
        </m:r>
        <m:r>
          <m:rPr>
            <m:lit/>
            <m:nor/>
          </m:rPr>
          <m:t xml:space="preserve"> </m:t>
        </m:r>
      </m:oMath>
      <w:r>
        <w:rPr/>
        <w:t xml:space="preserve">is represented by a vector of attributes </w:t>
      </w:r>
      <w:r>
        <w:rPr/>
      </w:r>
      <m:oMath xmlns:m="http://schemas.openxmlformats.org/officeDocument/2006/math">
        <m:sSub>
          <m:e>
            <m:r>
              <m:t xml:space="preserve">x</m:t>
            </m:r>
          </m:e>
          <m:sub>
            <m:r>
              <m:t xml:space="preserve">i</m:t>
            </m:r>
          </m:sub>
        </m:sSub>
      </m:oMath>
      <w:r>
        <w:rPr/>
        <w:t>. The implementation aggregates leg level information into trip level indicators and stores both core impedance indicators and environmental indicators.</w:t>
      </w:r>
    </w:p>
    <w:p>
      <w:pPr>
        <w:pStyle w:val="Normal"/>
        <w:rPr/>
      </w:pPr>
      <w:r>
        <w:rPr>
          <w:lang w:val="en-US"/>
        </w:rPr>
        <w:t xml:space="preserve">The core indicators include travel time, distance, waiting time, walking time, number of transfers, and a mode sequence descriptor. The cost indicators include total financial cost, when available. The environmental and health indicators include CO₂ emissions and calories consumed. </w:t>
      </w:r>
    </w:p>
    <w:p>
      <w:pPr>
        <w:pStyle w:val="Normal"/>
        <w:rPr>
          <w:b/>
        </w:rPr>
      </w:pPr>
      <w:r>
        <w:rPr>
          <w:b/>
        </w:rPr>
        <w:t xml:space="preserve">User profile and preference mask </w:t>
      </w:r>
    </w:p>
    <w:p>
      <w:pPr>
        <w:pStyle w:val="Normal"/>
        <w:rPr/>
      </w:pPr>
      <w:r>
        <w:drawing>
          <wp:anchor distT="0" distB="0" distL="114300" distR="114300" simplePos="0" relativeHeight="61" behindDoc="0" locked="0" layoutInCell="0" allowOverlap="1">
            <wp:simplePos x="0" y="0"/>
            <wp:positionH relativeFrom="column">
              <wp:posOffset>3640455</wp:posOffset>
            </wp:positionH>
            <wp:positionV relativeFrom="paragraph">
              <wp:posOffset>190500</wp:posOffset>
            </wp:positionV>
            <wp:extent cx="2262505" cy="3394075"/>
            <wp:effectExtent l="0" t="0" r="0" b="0"/>
            <wp:wrapSquare wrapText="bothSides"/>
            <wp:docPr id="11" name="Picture 8" descr="Εικόνα που περιέχει κείμενο, στιγμιότυπο οθόνης, γραμματοσειρά, αριθμός&#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Εικόνα που περιέχει κείμενο, στιγμιότυπο οθόνης, γραμματοσειρά, αριθμός&#10;&#10;Το περιεχόμενο που δημιουργείται από AI ενδέχεται να είναι εσφαλμένο."/>
                    <pic:cNvPicPr>
                      <a:picLocks noChangeAspect="1" noChangeArrowheads="1"/>
                    </pic:cNvPicPr>
                  </pic:nvPicPr>
                  <pic:blipFill>
                    <a:blip r:embed="rId20"/>
                    <a:stretch>
                      <a:fillRect/>
                    </a:stretch>
                  </pic:blipFill>
                  <pic:spPr bwMode="auto">
                    <a:xfrm>
                      <a:off x="0" y="0"/>
                      <a:ext cx="2262505" cy="3394075"/>
                    </a:xfrm>
                    <a:prstGeom prst="rect">
                      <a:avLst/>
                    </a:prstGeom>
                    <a:noFill/>
                  </pic:spPr>
                </pic:pic>
              </a:graphicData>
            </a:graphic>
          </wp:anchor>
        </w:drawing>
      </w:r>
      <w:r>
        <w:rPr>
          <w:lang w:val="en-US"/>
        </w:rPr>
        <w:t xml:space="preserve">The nudging module uses profile information collected at registration. The profile is mapped to two compact representations that are used online. The first representation is a preference weight vector </w:t>
      </w:r>
      <w:r>
        <w:rPr/>
      </w:r>
      <m:oMath xmlns:m="http://schemas.openxmlformats.org/officeDocument/2006/math">
        <m:sSub>
          <m:e>
            <m:r>
              <m:t xml:space="preserve">w</m:t>
            </m:r>
          </m:e>
          <m:sub>
            <m:r>
              <m:t xml:space="preserve">u</m:t>
            </m:r>
          </m:sub>
        </m:sSub>
        <m:r>
          <m:rPr>
            <m:lit/>
            <m:nor/>
          </m:rPr>
          <m:t xml:space="preserve"> </m:t>
        </m:r>
      </m:oMath>
      <w:r>
        <w:rPr>
          <w:lang w:val="en-US"/>
        </w:rPr>
        <w:t xml:space="preserve">over decision dimensions such as time, cost, convenience, reliability, environment, and health. The second representation is a feature vector </w:t>
      </w:r>
      <w:r>
        <w:rPr/>
      </w:r>
      <m:oMath xmlns:m="http://schemas.openxmlformats.org/officeDocument/2006/math">
        <m:sSub>
          <m:e>
            <m:r>
              <m:t xml:space="preserve">z</m:t>
            </m:r>
          </m:e>
          <m:sub>
            <m:r>
              <m:t xml:space="preserve">u</m:t>
            </m:r>
          </m:sub>
        </m:sSub>
        <m:r>
          <m:rPr>
            <m:lit/>
            <m:nor/>
          </m:rPr>
          <m:t xml:space="preserve"> </m:t>
        </m:r>
        <m:r>
          <m:rPr>
            <m:lit/>
            <m:nor/>
          </m:rPr>
          <m:t xml:space="preserve"> </m:t>
        </m:r>
      </m:oMath>
      <w:r>
        <w:rPr>
          <w:lang w:val="en-US"/>
        </w:rPr>
        <w:t>that captures behavioural relevant attributes, such as car habit, flexibility, and activity level.</w:t>
      </w:r>
    </w:p>
    <w:p>
      <w:pPr>
        <w:pStyle w:val="Normal"/>
        <w:rPr/>
      </w:pPr>
      <w:r>
        <w:rPr/>
      </w:r>
    </w:p>
    <w:p>
      <w:pPr>
        <w:pStyle w:val="Normal"/>
        <w:rPr/>
      </w:pPr>
      <w:r>
        <w:rPr>
          <w:lang w:val="en-US"/>
        </w:rPr>
        <w:t>The preference weight vector is derived from the question “What matters most to you when choosing how to travel”. The values are normalized to sum to one. The feature vector is derived from categorical answers and is encoded using binary or ordinal fields. The module also stores motivators and personal goals as tags that are used for text personalization in the LLM module.</w:t>
      </w:r>
    </w:p>
    <w:p>
      <w:pPr>
        <w:pStyle w:val="Normal"/>
        <w:rPr/>
      </w:pPr>
      <w:r>
        <w:rPr>
          <w:b/>
        </w:rPr>
        <w:t>Nudge taxonomy and constraints for feasibility</w:t>
      </w:r>
    </w:p>
    <w:p>
      <w:pPr>
        <w:pStyle w:val="Normal"/>
        <w:rPr/>
      </w:pPr>
      <w:r>
        <w:rPr/>
        <w:t>Mobilair uses a finite library of nudge categories. Each category corresponds to an established behavioral mechanism and a defined UI treatment. The taxonomy is deliberately small to support robust evaluation, consistent user experience, and manageable governance.</w:t>
      </w:r>
    </w:p>
    <w:tbl>
      <w:tblPr>
        <w:tblStyle w:val="TableGrid"/>
        <w:tblW w:w="935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122"/>
        <w:gridCol w:w="3059"/>
        <w:gridCol w:w="4169"/>
      </w:tblGrid>
      <w:tr>
        <w:trPr>
          <w:trHeight w:val="983" w:hRule="atLeast"/>
        </w:trPr>
        <w:tc>
          <w:tcPr>
            <w:tcW w:w="2122" w:type="dxa"/>
            <w:tcBorders/>
          </w:tcPr>
          <w:p>
            <w:pPr>
              <w:pStyle w:val="Normal"/>
              <w:widowControl/>
              <w:spacing w:lineRule="auto" w:line="278" w:before="80" w:after="160"/>
              <w:ind w:start="360"/>
              <w:rPr>
                <w:b/>
                <w:lang w:val="el-GR"/>
              </w:rPr>
            </w:pPr>
            <w:r>
              <w:rPr>
                <w:b/>
                <w:kern w:val="2"/>
                <w:lang w:val="el-GR" w:eastAsia="en-US" w:bidi="ar-SA"/>
              </w:rPr>
              <w:t>Nudge category (behavioral principle)</w:t>
            </w:r>
          </w:p>
        </w:tc>
        <w:tc>
          <w:tcPr>
            <w:tcW w:w="3059" w:type="dxa"/>
            <w:tcBorders/>
          </w:tcPr>
          <w:p>
            <w:pPr>
              <w:pStyle w:val="Normal"/>
              <w:widowControl/>
              <w:spacing w:lineRule="auto" w:line="278" w:before="80" w:after="160"/>
              <w:ind w:start="360"/>
              <w:rPr>
                <w:b/>
                <w:lang w:val="el-GR"/>
              </w:rPr>
            </w:pPr>
            <w:r>
              <w:rPr>
                <w:b/>
                <w:kern w:val="2"/>
                <w:lang w:val="el-GR" w:eastAsia="en-US" w:bidi="ar-SA"/>
              </w:rPr>
              <w:t>Why it works (psychology)</w:t>
            </w:r>
          </w:p>
        </w:tc>
        <w:tc>
          <w:tcPr>
            <w:tcW w:w="4169" w:type="dxa"/>
            <w:tcBorders/>
          </w:tcPr>
          <w:p>
            <w:pPr>
              <w:pStyle w:val="Normal"/>
              <w:widowControl/>
              <w:spacing w:lineRule="auto" w:line="278" w:before="80" w:after="160"/>
              <w:ind w:start="360"/>
              <w:rPr>
                <w:b/>
              </w:rPr>
            </w:pPr>
            <w:r>
              <w:rPr>
                <w:b/>
                <w:kern w:val="2"/>
                <w:lang w:eastAsia="en-US" w:bidi="ar-SA"/>
              </w:rPr>
              <w:t>Typical implementation in a mobility UI</w:t>
            </w:r>
          </w:p>
        </w:tc>
      </w:tr>
      <w:tr>
        <w:trPr/>
        <w:tc>
          <w:tcPr>
            <w:tcW w:w="2122" w:type="dxa"/>
            <w:tcBorders/>
          </w:tcPr>
          <w:p>
            <w:pPr>
              <w:pStyle w:val="Normal"/>
              <w:widowControl/>
              <w:spacing w:lineRule="auto" w:line="278" w:before="80" w:after="160"/>
              <w:ind w:start="360"/>
              <w:rPr>
                <w:lang w:val="el-GR"/>
              </w:rPr>
            </w:pPr>
            <w:r>
              <w:rPr>
                <w:kern w:val="2"/>
                <w:lang w:val="el-GR" w:eastAsia="en-US" w:bidi="ar-SA"/>
              </w:rPr>
              <w:t>Default / status-quo bias</w:t>
            </w:r>
          </w:p>
        </w:tc>
        <w:tc>
          <w:tcPr>
            <w:tcW w:w="3059" w:type="dxa"/>
            <w:tcBorders/>
          </w:tcPr>
          <w:p>
            <w:pPr>
              <w:pStyle w:val="Normal"/>
              <w:widowControl/>
              <w:spacing w:lineRule="auto" w:line="278" w:before="80" w:after="160"/>
              <w:ind w:start="360"/>
              <w:rPr>
                <w:kern w:val="2"/>
                <w:lang w:eastAsia="en-US" w:bidi="ar-SA"/>
              </w:rPr>
            </w:pPr>
            <w:r>
              <w:rPr>
                <w:kern w:val="2"/>
                <w:lang w:eastAsia="en-US" w:bidi="ar-SA"/>
              </w:rPr>
              <w:t>Users often keep the pre-selected option</w:t>
            </w:r>
          </w:p>
        </w:tc>
        <w:tc>
          <w:tcPr>
            <w:tcW w:w="4169" w:type="dxa"/>
            <w:tcBorders/>
          </w:tcPr>
          <w:p>
            <w:pPr>
              <w:pStyle w:val="Normal"/>
              <w:widowControl/>
              <w:spacing w:lineRule="auto" w:line="278" w:before="80" w:after="160"/>
              <w:ind w:start="360"/>
              <w:rPr>
                <w:kern w:val="2"/>
                <w:lang w:eastAsia="en-US" w:bidi="ar-SA"/>
              </w:rPr>
            </w:pPr>
            <w:r>
              <w:rPr>
                <w:kern w:val="2"/>
                <w:lang w:eastAsia="en-US" w:bidi="ar-SA"/>
              </w:rPr>
              <w:t>Pre-select the greenest option unless user changes it</w:t>
            </w:r>
          </w:p>
        </w:tc>
      </w:tr>
      <w:tr>
        <w:trPr/>
        <w:tc>
          <w:tcPr>
            <w:tcW w:w="2122" w:type="dxa"/>
            <w:tcBorders/>
          </w:tcPr>
          <w:p>
            <w:pPr>
              <w:pStyle w:val="Normal"/>
              <w:widowControl/>
              <w:spacing w:lineRule="auto" w:line="278" w:before="80" w:after="160"/>
              <w:ind w:start="360"/>
              <w:rPr>
                <w:lang w:val="el-GR"/>
              </w:rPr>
            </w:pPr>
            <w:r>
              <w:rPr>
                <w:kern w:val="2"/>
                <w:lang w:val="el-GR" w:eastAsia="en-US" w:bidi="ar-SA"/>
              </w:rPr>
              <w:t>Framing &amp; loss aversion</w:t>
            </w:r>
          </w:p>
        </w:tc>
        <w:tc>
          <w:tcPr>
            <w:tcW w:w="3059" w:type="dxa"/>
            <w:tcBorders/>
          </w:tcPr>
          <w:p>
            <w:pPr>
              <w:pStyle w:val="Normal"/>
              <w:widowControl/>
              <w:spacing w:lineRule="auto" w:line="278" w:before="80" w:after="160"/>
              <w:ind w:start="360"/>
              <w:rPr>
                <w:kern w:val="2"/>
                <w:lang w:eastAsia="en-US" w:bidi="ar-SA"/>
              </w:rPr>
            </w:pPr>
            <w:r>
              <w:rPr>
                <w:kern w:val="2"/>
                <w:lang w:eastAsia="en-US" w:bidi="ar-SA"/>
              </w:rPr>
              <w:t>Losses loom larger than gains</w:t>
            </w:r>
          </w:p>
        </w:tc>
        <w:tc>
          <w:tcPr>
            <w:tcW w:w="4169" w:type="dxa"/>
            <w:tcBorders/>
          </w:tcPr>
          <w:p>
            <w:pPr>
              <w:pStyle w:val="Normal"/>
              <w:widowControl/>
              <w:spacing w:lineRule="auto" w:line="278" w:before="80" w:after="160"/>
              <w:ind w:start="360"/>
              <w:rPr>
                <w:kern w:val="2"/>
                <w:lang w:eastAsia="en-US" w:bidi="ar-SA"/>
              </w:rPr>
            </w:pPr>
            <w:r>
              <w:rPr>
                <w:kern w:val="2"/>
                <w:lang w:eastAsia="en-US" w:bidi="ar-SA"/>
              </w:rPr>
              <w:t>“</w:t>
            </w:r>
            <w:r>
              <w:rPr>
                <w:kern w:val="2"/>
                <w:lang w:eastAsia="en-US" w:bidi="ar-SA"/>
              </w:rPr>
              <w:t>Car adds +X g CO</w:t>
            </w:r>
            <w:r>
              <w:rPr>
                <w:rFonts w:cs="Cambria Math" w:ascii="Cambria Math" w:hAnsi="Cambria Math"/>
                <w:kern w:val="2"/>
                <w:lang w:eastAsia="en-US" w:bidi="ar-SA"/>
              </w:rPr>
              <w:t>₂</w:t>
            </w:r>
            <w:r>
              <w:rPr>
                <w:kern w:val="2"/>
                <w:lang w:eastAsia="en-US" w:bidi="ar-SA"/>
              </w:rPr>
              <w:t>” vs “Green route saves X g CO</w:t>
            </w:r>
            <w:r>
              <w:rPr>
                <w:rFonts w:cs="Cambria Math" w:ascii="Cambria Math" w:hAnsi="Cambria Math"/>
                <w:kern w:val="2"/>
                <w:lang w:eastAsia="en-US" w:bidi="ar-SA"/>
              </w:rPr>
              <w:t>₂</w:t>
            </w:r>
            <w:r>
              <w:rPr>
                <w:kern w:val="2"/>
                <w:lang w:eastAsia="en-US" w:bidi="ar-SA"/>
              </w:rPr>
              <w:t>”</w:t>
            </w:r>
          </w:p>
        </w:tc>
      </w:tr>
      <w:tr>
        <w:trPr/>
        <w:tc>
          <w:tcPr>
            <w:tcW w:w="2122" w:type="dxa"/>
            <w:tcBorders/>
          </w:tcPr>
          <w:p>
            <w:pPr>
              <w:pStyle w:val="Normal"/>
              <w:widowControl/>
              <w:spacing w:lineRule="auto" w:line="278" w:before="80" w:after="160"/>
              <w:ind w:start="360"/>
              <w:rPr>
                <w:lang w:val="el-GR"/>
              </w:rPr>
            </w:pPr>
            <w:r>
              <w:rPr>
                <w:kern w:val="2"/>
                <w:lang w:val="el-GR" w:eastAsia="en-US" w:bidi="ar-SA"/>
              </w:rPr>
              <w:t>Anchoring / reference points</w:t>
            </w:r>
          </w:p>
        </w:tc>
        <w:tc>
          <w:tcPr>
            <w:tcW w:w="3059" w:type="dxa"/>
            <w:tcBorders/>
          </w:tcPr>
          <w:p>
            <w:pPr>
              <w:pStyle w:val="Normal"/>
              <w:widowControl/>
              <w:spacing w:lineRule="auto" w:line="278" w:before="80" w:after="160"/>
              <w:ind w:start="360"/>
              <w:rPr>
                <w:kern w:val="2"/>
                <w:lang w:eastAsia="en-US" w:bidi="ar-SA"/>
              </w:rPr>
            </w:pPr>
            <w:r>
              <w:rPr>
                <w:kern w:val="2"/>
                <w:lang w:eastAsia="en-US" w:bidi="ar-SA"/>
              </w:rPr>
              <w:t>Early numbers become reference points</w:t>
            </w:r>
          </w:p>
        </w:tc>
        <w:tc>
          <w:tcPr>
            <w:tcW w:w="4169" w:type="dxa"/>
            <w:tcBorders/>
          </w:tcPr>
          <w:p>
            <w:pPr>
              <w:pStyle w:val="Normal"/>
              <w:widowControl/>
              <w:spacing w:lineRule="auto" w:line="278" w:before="80" w:after="160"/>
              <w:ind w:start="360"/>
              <w:rPr>
                <w:kern w:val="2"/>
                <w:lang w:eastAsia="en-US" w:bidi="ar-SA"/>
              </w:rPr>
            </w:pPr>
            <w:r>
              <w:rPr>
                <w:kern w:val="2"/>
                <w:lang w:eastAsia="en-US" w:bidi="ar-SA"/>
              </w:rPr>
              <w:t>Compare to weekly CO</w:t>
            </w:r>
            <w:r>
              <w:rPr>
                <w:rFonts w:cs="Cambria Math" w:ascii="Cambria Math" w:hAnsi="Cambria Math"/>
                <w:kern w:val="2"/>
                <w:lang w:eastAsia="en-US" w:bidi="ar-SA"/>
              </w:rPr>
              <w:t>₂</w:t>
            </w:r>
            <w:r>
              <w:rPr>
                <w:kern w:val="2"/>
                <w:lang w:eastAsia="en-US" w:bidi="ar-SA"/>
              </w:rPr>
              <w:t xml:space="preserve"> guideline or user baseline</w:t>
            </w:r>
          </w:p>
        </w:tc>
      </w:tr>
      <w:tr>
        <w:trPr/>
        <w:tc>
          <w:tcPr>
            <w:tcW w:w="2122" w:type="dxa"/>
            <w:tcBorders/>
          </w:tcPr>
          <w:p>
            <w:pPr>
              <w:pStyle w:val="Normal"/>
              <w:widowControl/>
              <w:spacing w:lineRule="auto" w:line="278" w:before="80" w:after="160"/>
              <w:ind w:start="360"/>
              <w:rPr>
                <w:lang w:val="el-GR"/>
              </w:rPr>
            </w:pPr>
            <w:r>
              <w:rPr>
                <w:kern w:val="2"/>
                <w:lang w:val="el-GR" w:eastAsia="en-US" w:bidi="ar-SA"/>
              </w:rPr>
              <w:t>Social proof / descriptive norms</w:t>
            </w:r>
          </w:p>
        </w:tc>
        <w:tc>
          <w:tcPr>
            <w:tcW w:w="3059" w:type="dxa"/>
            <w:tcBorders/>
          </w:tcPr>
          <w:p>
            <w:pPr>
              <w:pStyle w:val="Normal"/>
              <w:widowControl/>
              <w:spacing w:lineRule="auto" w:line="278" w:before="80" w:after="160"/>
              <w:ind w:start="360"/>
              <w:rPr>
                <w:kern w:val="2"/>
                <w:lang w:eastAsia="en-US" w:bidi="ar-SA"/>
              </w:rPr>
            </w:pPr>
            <w:r>
              <w:rPr>
                <w:kern w:val="2"/>
                <w:lang w:eastAsia="en-US" w:bidi="ar-SA"/>
              </w:rPr>
              <w:t>Users follow what “most people” do</w:t>
            </w:r>
          </w:p>
        </w:tc>
        <w:tc>
          <w:tcPr>
            <w:tcW w:w="4169" w:type="dxa"/>
            <w:tcBorders/>
          </w:tcPr>
          <w:p>
            <w:pPr>
              <w:pStyle w:val="Normal"/>
              <w:widowControl/>
              <w:spacing w:lineRule="auto" w:line="278" w:before="80" w:after="160"/>
              <w:ind w:start="360"/>
              <w:rPr>
                <w:kern w:val="2"/>
                <w:lang w:eastAsia="en-US" w:bidi="ar-SA"/>
              </w:rPr>
            </w:pPr>
            <w:r>
              <w:rPr>
                <w:kern w:val="2"/>
                <w:lang w:eastAsia="en-US" w:bidi="ar-SA"/>
              </w:rPr>
              <w:t>“</w:t>
            </w:r>
            <w:r>
              <w:rPr>
                <w:kern w:val="2"/>
                <w:lang w:eastAsia="en-US" w:bidi="ar-SA"/>
              </w:rPr>
              <w:t>74% chose this option last week at this hour”</w:t>
            </w:r>
          </w:p>
        </w:tc>
      </w:tr>
      <w:tr>
        <w:trPr/>
        <w:tc>
          <w:tcPr>
            <w:tcW w:w="2122" w:type="dxa"/>
            <w:tcBorders/>
          </w:tcPr>
          <w:p>
            <w:pPr>
              <w:pStyle w:val="Normal"/>
              <w:widowControl/>
              <w:spacing w:lineRule="auto" w:line="278" w:before="80" w:after="160"/>
              <w:ind w:start="360"/>
              <w:rPr>
                <w:lang w:val="el-GR"/>
              </w:rPr>
            </w:pPr>
            <w:r>
              <w:rPr>
                <w:kern w:val="2"/>
                <w:lang w:val="el-GR" w:eastAsia="en-US" w:bidi="ar-SA"/>
              </w:rPr>
              <w:t>Salience &amp; visual cues</w:t>
            </w:r>
          </w:p>
        </w:tc>
        <w:tc>
          <w:tcPr>
            <w:tcW w:w="3059" w:type="dxa"/>
            <w:tcBorders/>
          </w:tcPr>
          <w:p>
            <w:pPr>
              <w:pStyle w:val="Normal"/>
              <w:widowControl/>
              <w:spacing w:lineRule="auto" w:line="278" w:before="80" w:after="160"/>
              <w:ind w:start="360"/>
              <w:rPr>
                <w:lang w:val="el-GR"/>
              </w:rPr>
            </w:pPr>
            <w:r>
              <w:rPr>
                <w:kern w:val="2"/>
                <w:lang w:val="el-GR" w:eastAsia="en-US" w:bidi="ar-SA"/>
              </w:rPr>
              <w:t>Vivid cues attract attention</w:t>
            </w:r>
          </w:p>
        </w:tc>
        <w:tc>
          <w:tcPr>
            <w:tcW w:w="4169" w:type="dxa"/>
            <w:tcBorders/>
          </w:tcPr>
          <w:p>
            <w:pPr>
              <w:pStyle w:val="Normal"/>
              <w:widowControl/>
              <w:spacing w:lineRule="auto" w:line="278" w:before="80" w:after="160"/>
              <w:ind w:start="360"/>
              <w:rPr>
                <w:kern w:val="2"/>
                <w:lang w:eastAsia="en-US" w:bidi="ar-SA"/>
              </w:rPr>
            </w:pPr>
            <w:r>
              <w:rPr>
                <w:kern w:val="2"/>
                <w:lang w:eastAsia="en-US" w:bidi="ar-SA"/>
              </w:rPr>
              <w:t>Color bands, icons, bold key metric (CO</w:t>
            </w:r>
            <w:r>
              <w:rPr>
                <w:rFonts w:cs="Cambria Math" w:ascii="Cambria Math" w:hAnsi="Cambria Math"/>
                <w:kern w:val="2"/>
                <w:lang w:eastAsia="en-US" w:bidi="ar-SA"/>
              </w:rPr>
              <w:t>₂</w:t>
            </w:r>
            <w:r>
              <w:rPr>
                <w:kern w:val="2"/>
                <w:lang w:eastAsia="en-US" w:bidi="ar-SA"/>
              </w:rPr>
              <w:t xml:space="preserve"> /kcal)</w:t>
            </w:r>
          </w:p>
        </w:tc>
      </w:tr>
      <w:tr>
        <w:trPr/>
        <w:tc>
          <w:tcPr>
            <w:tcW w:w="2122" w:type="dxa"/>
            <w:tcBorders/>
          </w:tcPr>
          <w:p>
            <w:pPr>
              <w:pStyle w:val="Normal"/>
              <w:widowControl/>
              <w:spacing w:lineRule="auto" w:line="278" w:before="80" w:after="160"/>
              <w:ind w:start="360"/>
              <w:rPr>
                <w:lang w:val="el-GR"/>
              </w:rPr>
            </w:pPr>
            <w:r>
              <w:rPr>
                <w:kern w:val="2"/>
                <w:lang w:val="el-GR" w:eastAsia="en-US" w:bidi="ar-SA"/>
              </w:rPr>
              <w:t>Commitment &amp; consistency</w:t>
            </w:r>
          </w:p>
        </w:tc>
        <w:tc>
          <w:tcPr>
            <w:tcW w:w="3059" w:type="dxa"/>
            <w:tcBorders/>
          </w:tcPr>
          <w:p>
            <w:pPr>
              <w:pStyle w:val="Normal"/>
              <w:widowControl/>
              <w:spacing w:lineRule="auto" w:line="278" w:before="80" w:after="160"/>
              <w:ind w:start="360"/>
              <w:rPr>
                <w:lang w:val="el-GR"/>
              </w:rPr>
            </w:pPr>
            <w:r>
              <w:rPr>
                <w:kern w:val="2"/>
                <w:lang w:val="el-GR" w:eastAsia="en-US" w:bidi="ar-SA"/>
              </w:rPr>
              <w:t>Commitments increase follow-through</w:t>
            </w:r>
          </w:p>
        </w:tc>
        <w:tc>
          <w:tcPr>
            <w:tcW w:w="4169" w:type="dxa"/>
            <w:tcBorders/>
          </w:tcPr>
          <w:p>
            <w:pPr>
              <w:pStyle w:val="Normal"/>
              <w:widowControl/>
              <w:spacing w:lineRule="auto" w:line="278" w:before="80" w:after="160"/>
              <w:ind w:start="360"/>
              <w:rPr>
                <w:kern w:val="2"/>
                <w:lang w:eastAsia="en-US" w:bidi="ar-SA"/>
              </w:rPr>
            </w:pPr>
            <w:r>
              <w:rPr>
                <w:kern w:val="2"/>
                <w:lang w:eastAsia="en-US" w:bidi="ar-SA"/>
              </w:rPr>
              <w:t>“</w:t>
            </w:r>
            <w:r>
              <w:rPr>
                <w:kern w:val="2"/>
                <w:lang w:eastAsia="en-US" w:bidi="ar-SA"/>
              </w:rPr>
              <w:t>Prefer green if ≤ 5 min slower” pledge</w:t>
            </w:r>
          </w:p>
        </w:tc>
      </w:tr>
      <w:tr>
        <w:trPr/>
        <w:tc>
          <w:tcPr>
            <w:tcW w:w="2122" w:type="dxa"/>
            <w:tcBorders/>
          </w:tcPr>
          <w:p>
            <w:pPr>
              <w:pStyle w:val="Normal"/>
              <w:widowControl/>
              <w:spacing w:lineRule="auto" w:line="278" w:before="80" w:after="160"/>
              <w:ind w:start="360"/>
              <w:rPr>
                <w:lang w:val="el-GR"/>
              </w:rPr>
            </w:pPr>
            <w:r>
              <w:rPr>
                <w:kern w:val="2"/>
                <w:lang w:val="el-GR" w:eastAsia="en-US" w:bidi="ar-SA"/>
              </w:rPr>
              <w:t>Feedback, goals &amp; gamification</w:t>
            </w:r>
          </w:p>
        </w:tc>
        <w:tc>
          <w:tcPr>
            <w:tcW w:w="3059" w:type="dxa"/>
            <w:tcBorders/>
          </w:tcPr>
          <w:p>
            <w:pPr>
              <w:pStyle w:val="Normal"/>
              <w:widowControl/>
              <w:spacing w:lineRule="auto" w:line="278" w:before="80" w:after="160"/>
              <w:ind w:start="360"/>
              <w:rPr>
                <w:lang w:val="el-GR"/>
              </w:rPr>
            </w:pPr>
            <w:r>
              <w:rPr>
                <w:kern w:val="2"/>
                <w:lang w:val="el-GR" w:eastAsia="en-US" w:bidi="ar-SA"/>
              </w:rPr>
              <w:t>Feedback sustains motivation</w:t>
            </w:r>
          </w:p>
        </w:tc>
        <w:tc>
          <w:tcPr>
            <w:tcW w:w="4169" w:type="dxa"/>
            <w:tcBorders/>
          </w:tcPr>
          <w:p>
            <w:pPr>
              <w:pStyle w:val="Normal"/>
              <w:widowControl/>
              <w:spacing w:lineRule="auto" w:line="278" w:before="80" w:after="160"/>
              <w:ind w:start="360"/>
              <w:rPr>
                <w:kern w:val="2"/>
                <w:lang w:eastAsia="en-US" w:bidi="ar-SA"/>
              </w:rPr>
            </w:pPr>
            <w:r>
              <w:rPr>
                <w:kern w:val="2"/>
                <w:lang w:eastAsia="en-US" w:bidi="ar-SA"/>
              </w:rPr>
              <w:t>weekly CO</w:t>
            </w:r>
            <w:r>
              <w:rPr>
                <w:rFonts w:cs="Cambria Math" w:ascii="Cambria Math" w:hAnsi="Cambria Math"/>
                <w:kern w:val="2"/>
                <w:lang w:eastAsia="en-US" w:bidi="ar-SA"/>
              </w:rPr>
              <w:t>₂</w:t>
            </w:r>
            <w:r>
              <w:rPr>
                <w:kern w:val="2"/>
                <w:lang w:eastAsia="en-US" w:bidi="ar-SA"/>
              </w:rPr>
              <w:t xml:space="preserve"> savings, streaks, progress rings</w:t>
            </w:r>
          </w:p>
        </w:tc>
      </w:tr>
    </w:tbl>
    <w:p>
      <w:pPr>
        <w:pStyle w:val="Normal"/>
        <w:rPr/>
      </w:pPr>
      <w:r>
        <w:rPr/>
      </w:r>
    </w:p>
    <w:p>
      <w:pPr>
        <w:pStyle w:val="Normal"/>
        <w:rPr/>
      </w:pPr>
      <w:r>
        <w:rPr/>
        <w:t>The optimizer uses feasibility rules to prevent invalid or misleading messaging. For example, social proof nudges are only allowed when reliable reference statistics exist for the relevant context. Commitment nudges are only allowed when the user has opted in to that interaction type. Nudges that depend on cost information are only allowed when cost is available for the itinerary.</w:t>
      </w:r>
    </w:p>
    <w:p>
      <w:pPr>
        <w:pStyle w:val="Normal"/>
        <w:rPr>
          <w:rFonts w:eastAsia="Arial"/>
          <w:i/>
          <w:iCs/>
          <w:color w:val="595959"/>
          <w:sz w:val="20"/>
          <w:szCs w:val="20"/>
        </w:rPr>
      </w:pPr>
      <w:r>
        <w:rPr>
          <w:rFonts w:eastAsia="Arial"/>
          <w:i/>
          <w:color w:themeColor="text1" w:themeTint="a6" w:val="595959"/>
          <w:sz w:val="20"/>
          <w:szCs w:val="20"/>
        </w:rPr>
        <w:t xml:space="preserve"> </w:t>
      </w:r>
      <w:r>
        <w:rPr>
          <w:rFonts w:eastAsia="Arial"/>
          <w:i/>
          <w:color w:themeColor="text1" w:themeTint="a6" w:val="595959"/>
          <w:sz w:val="20"/>
          <w:szCs w:val="20"/>
          <w:highlight w:val="yellow"/>
        </w:rPr>
        <w:t>+++ TBC</w:t>
      </w:r>
      <w:r>
        <w:rPr>
          <w:rFonts w:eastAsia="Arial"/>
          <w:i/>
          <w:color w:themeColor="text1" w:themeTint="a6" w:val="595959"/>
          <w:sz w:val="20"/>
          <w:szCs w:val="20"/>
        </w:rPr>
        <w:t xml:space="preserve"> I ll add more</w:t>
      </w:r>
    </w:p>
    <w:p>
      <w:pPr>
        <w:pStyle w:val="Heading2"/>
        <w:rPr/>
      </w:pPr>
      <w:bookmarkStart w:id="90" w:name="_Toc226020141"/>
      <w:bookmarkStart w:id="91" w:name="_Toc226016126"/>
      <w:bookmarkStart w:id="92" w:name="_Toc410498264"/>
      <w:r>
        <w:rPr/>
        <w:t>3.2 Methodological Approach of AI nudging recommendation engine</w:t>
      </w:r>
      <w:bookmarkEnd w:id="90"/>
      <w:bookmarkEnd w:id="91"/>
      <w:bookmarkEnd w:id="92"/>
    </w:p>
    <w:p>
      <w:pPr>
        <w:pStyle w:val="Normal"/>
        <w:spacing w:before="0" w:after="160"/>
        <w:rPr>
          <w:lang w:val="en-US"/>
        </w:rPr>
      </w:pPr>
      <w:r>
        <w:rPr>
          <w:lang w:val="en-US"/>
        </w:rPr>
        <w:t>The approach consists of three sequential steps. First, the system reduces the candidate alternatives returned by the trip planner using a travel time filter. Second, it ranks the remaining alternatives using a composite score that combines user stated preferences and trip attributes. Third, it assigns a behavioural nudge focus to each alternative using rule-based personalization derived from user goals and preference weights.</w:t>
      </w:r>
    </w:p>
    <w:p>
      <w:pPr>
        <w:pStyle w:val="Normal"/>
        <w:spacing w:before="0" w:after="160"/>
        <w:rPr>
          <w:lang w:val="en-US"/>
        </w:rPr>
      </w:pPr>
      <w:r>
        <w:rPr>
          <w:lang w:val="en-US"/>
        </w:rPr>
        <w:t>The method is designed to be transparent and computationally efficient. It also ensures that the resulting ranking remains intuitive to the user because the fastest options are always considered first. At the same time, environmental and health attributes can influence the final ranking when the user preferences support such alternatives.</w:t>
      </w:r>
    </w:p>
    <w:p>
      <w:pPr>
        <w:pStyle w:val="Normal"/>
        <w:spacing w:before="0" w:after="160"/>
        <w:rPr>
          <w:lang w:val="en-US"/>
        </w:rPr>
      </w:pPr>
      <w:r>
        <w:rPr>
          <w:lang w:val="en-US"/>
        </w:rPr>
        <w:t>The multimodal trip planner may generate several alternatives that differ in mode combinations, travel time, transfers, and cost. Presenting a large number of alternatives may reduce usability and introduce noise in the ranking procedure. For this reason, the system applies an initial filtering step based on travel time.</w:t>
      </w:r>
    </w:p>
    <w:p>
      <w:pPr>
        <w:pStyle w:val="Normal"/>
        <w:spacing w:before="0" w:after="160"/>
        <w:rPr>
          <w:lang w:val="en-US"/>
        </w:rPr>
      </w:pPr>
      <w:r>
        <w:rPr>
          <w:lang w:val="en-US"/>
        </w:rPr>
        <w:t xml:space="preserve">Let </w:t>
      </w:r>
      <w:r>
        <w:rPr/>
      </w:r>
      <m:oMath xmlns:m="http://schemas.openxmlformats.org/officeDocument/2006/math">
        <m:r>
          <m:t xml:space="preserve">I</m:t>
        </m:r>
      </m:oMath>
      <w:r>
        <w:rPr>
          <w:lang w:val="en-US"/>
        </w:rPr>
        <w:t xml:space="preserve">denote the set of alternatives returned by the trip planner. Each alternative </w:t>
      </w:r>
      <w:r>
        <w:rPr/>
      </w:r>
      <m:oMath xmlns:m="http://schemas.openxmlformats.org/officeDocument/2006/math">
        <m:r>
          <m:t xml:space="preserve">i</m:t>
        </m:r>
        <m:r>
          <m:t xml:space="preserve">∈</m:t>
        </m:r>
        <m:r>
          <m:t xml:space="preserve">I</m:t>
        </m:r>
        <m:r>
          <m:rPr>
            <m:lit/>
            <m:nor/>
          </m:rPr>
          <m:t xml:space="preserve"> </m:t>
        </m:r>
      </m:oMath>
      <w:r>
        <w:rPr>
          <w:lang w:val="en-US"/>
        </w:rPr>
        <w:t xml:space="preserve">has an associated travel time </w:t>
      </w:r>
      <w:r>
        <w:rPr/>
      </w:r>
      <m:oMath xmlns:m="http://schemas.openxmlformats.org/officeDocument/2006/math">
        <m:sSub>
          <m:e>
            <m:r>
              <m:t xml:space="preserve">t</m:t>
            </m:r>
          </m:e>
          <m:sub>
            <m:r>
              <m:t xml:space="preserve">i</m:t>
            </m:r>
          </m:sub>
        </m:sSub>
      </m:oMath>
      <w:r>
        <w:rPr>
          <w:lang w:val="en-US"/>
        </w:rPr>
        <w:t>. The system selects the three fastest alternatives according to the following rule:</w:t>
      </w:r>
    </w:p>
    <w:p>
      <w:pPr>
        <w:pStyle w:val="Normal"/>
        <w:spacing w:before="80" w:after="160"/>
        <w:jc w:val="center"/>
        <w:rPr>
          <w:lang w:val="en-US"/>
        </w:rPr>
      </w:pPr>
      <w:r>
        <w:rPr/>
      </w:r>
      <m:oMathPara xmlns:m="http://schemas.openxmlformats.org/officeDocument/2006/math">
        <m:oMathParaPr>
          <m:jc m:val="center"/>
        </m:oMathParaPr>
        <m:oMath>
          <m:sSup>
            <m:e>
              <m:r>
                <m:t xml:space="preserve">I</m:t>
              </m:r>
            </m:e>
            <m:sup>
              <m:d>
                <m:dPr>
                  <m:begChr m:val="("/>
                  <m:endChr m:val=")"/>
                </m:dPr>
                <m:e>
                  <m:r>
                    <m:t xml:space="preserve">3</m:t>
                  </m:r>
                </m:e>
              </m:d>
            </m:sup>
          </m:sSup>
          <m:r>
            <m:rPr>
              <m:lit/>
              <m:nor/>
            </m:rPr>
            <m:t xml:space="preserve">=</m:t>
          </m:r>
          <m:r>
            <m:t xml:space="preserve">arg</m:t>
          </m:r>
          <m:r>
            <m:t xml:space="preserve">min</m:t>
          </m:r>
          <m:limLow>
            <m:e>
              <m:r>
                <m:t xml:space="preserve">⁡</m:t>
              </m:r>
            </m:e>
            <m:lim>
              <m:r>
                <m:t xml:space="preserve">J</m:t>
              </m:r>
              <m:r>
                <m:t xml:space="preserve">⊆</m:t>
              </m:r>
              <m:r>
                <m:t xml:space="preserve">I</m:t>
              </m:r>
              <m:r>
                <m:t xml:space="preserve">,</m:t>
              </m:r>
              <m:r>
                <m:rPr>
                  <m:lit/>
                  <m:nor/>
                </m:rPr>
                <m:t xml:space="preserve"/>
              </m:r>
              <m:r>
                <m:t xml:space="preserve">|</m:t>
              </m:r>
              <m:r>
                <m:t xml:space="preserve">J</m:t>
              </m:r>
              <m:r>
                <m:t xml:space="preserve">|</m:t>
              </m:r>
              <m:r>
                <m:rPr>
                  <m:lit/>
                  <m:nor/>
                </m:rPr>
                <m:t xml:space="preserve">=</m:t>
              </m:r>
              <m:r>
                <m:t xml:space="preserve">3</m:t>
              </m:r>
            </m:lim>
          </m:limLow>
          <m:nary>
            <m:naryPr>
              <m:chr m:val="∑"/>
              <m:supHide m:val="1"/>
            </m:naryPr>
            <m:sub>
              <m:r>
                <m:t xml:space="preserve">i</m:t>
              </m:r>
              <m:r>
                <m:t xml:space="preserve">∈</m:t>
              </m:r>
              <m:r>
                <m:t xml:space="preserve">J</m:t>
              </m:r>
            </m:sub>
            <m:sup/>
            <m:e>
              <m:sSub>
                <m:e>
                  <m:r>
                    <m:t xml:space="preserve">t</m:t>
                  </m:r>
                </m:e>
                <m:sub>
                  <m:r>
                    <m:t xml:space="preserve">i</m:t>
                  </m:r>
                </m:sub>
              </m:sSub>
            </m:e>
          </m:nary>
        </m:oMath>
      </m:oMathPara>
    </w:p>
    <w:p>
      <w:pPr>
        <w:pStyle w:val="Normal"/>
        <w:spacing w:before="0" w:after="160"/>
        <w:rPr>
          <w:lang w:val="en-US"/>
        </w:rPr>
      </w:pPr>
      <w:r>
        <w:rPr>
          <w:lang w:val="en-US"/>
        </w:rPr>
        <w:t xml:space="preserve">This operation returns the subset </w:t>
      </w:r>
      <w:r>
        <w:rPr/>
      </w:r>
      <m:oMath xmlns:m="http://schemas.openxmlformats.org/officeDocument/2006/math">
        <m:sSup>
          <m:e>
            <m:r>
              <m:t xml:space="preserve">I</m:t>
            </m:r>
          </m:e>
          <m:sup>
            <m:d>
              <m:dPr>
                <m:begChr m:val="("/>
                <m:endChr m:val=")"/>
              </m:dPr>
              <m:e>
                <m:r>
                  <m:t xml:space="preserve">K</m:t>
                </m:r>
              </m:e>
            </m:d>
          </m:sup>
        </m:sSup>
        <m:r>
          <m:rPr>
            <m:lit/>
            <m:nor/>
          </m:rPr>
          <m:t xml:space="preserve"> </m:t>
        </m:r>
      </m:oMath>
      <w:r>
        <w:rPr>
          <w:lang w:val="en-US"/>
        </w:rPr>
        <w:t xml:space="preserve">that contains the </w:t>
      </w:r>
      <w:r>
        <w:rPr/>
      </w:r>
      <m:oMath xmlns:m="http://schemas.openxmlformats.org/officeDocument/2006/math">
        <m:r>
          <m:t xml:space="preserve">K</m:t>
        </m:r>
        <m:r>
          <m:rPr>
            <m:lit/>
            <m:nor/>
          </m:rPr>
          <m:t xml:space="preserve"> </m:t>
        </m:r>
        <m:r>
          <m:rPr>
            <m:lit/>
            <m:nor/>
          </m:rPr>
          <m:t xml:space="preserve"> </m:t>
        </m:r>
      </m:oMath>
      <w:r>
        <w:rPr>
          <w:lang w:val="en-US"/>
        </w:rPr>
        <w:t xml:space="preserve">alternatives with the lowest travel time values. The choice of </w:t>
      </w:r>
      <w:r>
        <w:rPr/>
      </w:r>
      <m:oMath xmlns:m="http://schemas.openxmlformats.org/officeDocument/2006/math">
        <m:r>
          <m:t xml:space="preserve">K</m:t>
        </m:r>
        <m:r>
          <m:rPr>
            <m:lit/>
            <m:nor/>
          </m:rPr>
          <m:t xml:space="preserve">=</m:t>
        </m:r>
        <m:r>
          <m:t xml:space="preserve">3</m:t>
        </m:r>
        <m:r>
          <m:rPr>
            <m:lit/>
            <m:nor/>
          </m:rPr>
          <m:t xml:space="preserve"> </m:t>
        </m:r>
      </m:oMath>
      <w:r>
        <w:rPr>
          <w:lang w:val="en-US"/>
        </w:rPr>
        <w:t>balances information richness with interface simplicity. The user receives a manageable number of options while the system still considers multiple mobility modes.</w:t>
      </w:r>
    </w:p>
    <w:p>
      <w:pPr>
        <w:pStyle w:val="Normal"/>
        <w:spacing w:before="0" w:after="160"/>
        <w:rPr>
          <w:lang w:val="en-US"/>
        </w:rPr>
      </w:pPr>
      <w:r>
        <w:rPr>
          <w:lang w:val="en-US"/>
        </w:rPr>
        <w:t>To illustrate the methodology below presented an example trip from tripplanner output, the travel times are as follows:</w:t>
      </w:r>
    </w:p>
    <w:p>
      <w:pPr>
        <w:pStyle w:val="Caption"/>
        <w:keepNext w:val="true"/>
        <w:rPr/>
      </w:pPr>
      <w:bookmarkStart w:id="93" w:name="_Toc226020119"/>
      <w:r>
        <w:rPr/>
        <w:t xml:space="preserve">Table </w:t>
      </w:r>
      <w:r>
        <w:rPr/>
        <w:fldChar w:fldCharType="begin"/>
      </w:r>
      <w:r>
        <w:rPr/>
        <w:instrText xml:space="preserve"> SEQ Table \* ARABIC </w:instrText>
      </w:r>
      <w:r>
        <w:rPr/>
        <w:fldChar w:fldCharType="separate"/>
      </w:r>
      <w:r>
        <w:rPr/>
        <w:t>4</w:t>
      </w:r>
      <w:r>
        <w:rPr/>
        <w:fldChar w:fldCharType="end"/>
      </w:r>
      <w:r>
        <w:rPr/>
        <w:t>: example trip plan XXX</w:t>
      </w:r>
      <w:bookmarkEnd w:id="93"/>
    </w:p>
    <w:tbl>
      <w:tblPr>
        <w:tblStyle w:val="GridTable4"/>
        <w:tblW w:w="684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757"/>
        <w:gridCol w:w="1911"/>
        <w:gridCol w:w="1656"/>
        <w:gridCol w:w="790"/>
        <w:gridCol w:w="847"/>
        <w:gridCol w:w="879"/>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7" w:type="dxa"/>
            <w:tcBorders>
              <w:top w:val="single" w:sz="4" w:space="0" w:color="000000"/>
              <w:start w:val="single" w:sz="4" w:space="0" w:color="000000"/>
              <w:bottom w:val="single" w:sz="4" w:space="0" w:color="000000"/>
              <w:end w:val="single" w:sz="4" w:space="0" w:color="000000"/>
            </w:tcBorders>
            <w:shd w:color="auto" w:fill="000000" w:themeFill="text1" w:val="clear"/>
          </w:tcPr>
          <w:p>
            <w:pPr>
              <w:pStyle w:val="Normal"/>
              <w:widowControl/>
              <w:spacing w:lineRule="auto" w:line="278" w:before="80" w:after="160"/>
              <w:jc w:val="start"/>
              <w:rPr>
                <w:sz w:val="20"/>
                <w:szCs w:val="20"/>
                <w:lang w:val="en-US"/>
              </w:rPr>
            </w:pPr>
            <w:r>
              <w:rPr>
                <w:b/>
                <w:bCs/>
                <w:color w:themeColor="background1" w:val="FFFFFF"/>
                <w:kern w:val="2"/>
                <w:sz w:val="20"/>
                <w:szCs w:val="20"/>
                <w:lang w:val="en-US" w:eastAsia="en-US" w:bidi="ar-SA"/>
              </w:rPr>
              <w:t>Trip ID</w:t>
            </w:r>
          </w:p>
        </w:tc>
        <w:tc>
          <w:tcPr>
            <w:tcW w:w="1911" w:type="dxa"/>
            <w:tcBorders>
              <w:top w:val="single" w:sz="4" w:space="0" w:color="000000"/>
              <w:start w:val="single" w:sz="4" w:space="0" w:color="000000"/>
              <w:bottom w:val="single" w:sz="4" w:space="0" w:color="000000"/>
              <w:end w:val="single" w:sz="4" w:space="0" w:color="000000"/>
            </w:tcBorders>
            <w:shd w:color="auto" w:fill="000000" w:themeFill="text1" w:val="clear"/>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sz w:val="20"/>
                <w:szCs w:val="20"/>
                <w:lang w:val="en-US"/>
              </w:rPr>
            </w:pPr>
            <w:r>
              <w:rPr>
                <w:b/>
                <w:bCs/>
                <w:color w:themeColor="background1" w:val="FFFFFF"/>
                <w:kern w:val="2"/>
                <w:sz w:val="20"/>
                <w:szCs w:val="20"/>
                <w:lang w:val="en-US" w:eastAsia="en-US" w:bidi="ar-SA"/>
              </w:rPr>
              <w:t>Main Mode</w:t>
            </w:r>
          </w:p>
        </w:tc>
        <w:tc>
          <w:tcPr>
            <w:tcW w:w="1656" w:type="dxa"/>
            <w:tcBorders>
              <w:top w:val="single" w:sz="4" w:space="0" w:color="000000"/>
              <w:start w:val="single" w:sz="4" w:space="0" w:color="000000"/>
              <w:bottom w:val="single" w:sz="4" w:space="0" w:color="000000"/>
              <w:end w:val="single" w:sz="4" w:space="0" w:color="000000"/>
            </w:tcBorders>
            <w:shd w:color="auto" w:fill="000000" w:themeFill="text1" w:val="clear"/>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sz w:val="20"/>
                <w:szCs w:val="20"/>
                <w:lang w:val="en-US"/>
              </w:rPr>
            </w:pPr>
            <w:r>
              <w:rPr>
                <w:b/>
                <w:bCs/>
                <w:color w:themeColor="background1" w:val="FFFFFF"/>
                <w:kern w:val="2"/>
                <w:sz w:val="20"/>
                <w:szCs w:val="20"/>
                <w:lang w:val="en-US" w:eastAsia="en-US" w:bidi="ar-SA"/>
              </w:rPr>
              <w:t>Travel Time (min)</w:t>
            </w:r>
          </w:p>
        </w:tc>
        <w:tc>
          <w:tcPr>
            <w:tcW w:w="790" w:type="dxa"/>
            <w:tcBorders>
              <w:top w:val="single" w:sz="4" w:space="0" w:color="000000"/>
              <w:start w:val="single" w:sz="4" w:space="0" w:color="000000"/>
              <w:bottom w:val="single" w:sz="4" w:space="0" w:color="000000"/>
              <w:end w:val="single" w:sz="4" w:space="0" w:color="000000"/>
            </w:tcBorders>
            <w:shd w:color="auto" w:fill="000000" w:themeFill="text1" w:val="clear"/>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sz w:val="20"/>
                <w:szCs w:val="20"/>
                <w:lang w:val="en-US"/>
              </w:rPr>
            </w:pPr>
            <w:r>
              <w:rPr>
                <w:b/>
                <w:bCs/>
                <w:color w:themeColor="background1" w:val="FFFFFF"/>
                <w:kern w:val="2"/>
                <w:sz w:val="20"/>
                <w:szCs w:val="20"/>
                <w:lang w:val="en-US" w:eastAsia="en-US" w:bidi="ar-SA"/>
              </w:rPr>
              <w:t>CO₂ (g)</w:t>
            </w:r>
          </w:p>
        </w:tc>
        <w:tc>
          <w:tcPr>
            <w:tcW w:w="847" w:type="dxa"/>
            <w:tcBorders>
              <w:top w:val="single" w:sz="4" w:space="0" w:color="000000"/>
              <w:start w:val="single" w:sz="4" w:space="0" w:color="000000"/>
              <w:bottom w:val="single" w:sz="4" w:space="0" w:color="000000"/>
              <w:end w:val="single" w:sz="4" w:space="0" w:color="000000"/>
            </w:tcBorders>
            <w:shd w:color="auto" w:fill="000000" w:themeFill="text1" w:val="clear"/>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sz w:val="20"/>
                <w:szCs w:val="20"/>
                <w:lang w:val="en-US"/>
              </w:rPr>
            </w:pPr>
            <w:r>
              <w:rPr>
                <w:b/>
                <w:bCs/>
                <w:color w:themeColor="background1" w:val="FFFFFF"/>
                <w:kern w:val="2"/>
                <w:sz w:val="20"/>
                <w:szCs w:val="20"/>
                <w:lang w:val="en-US" w:eastAsia="en-US" w:bidi="ar-SA"/>
              </w:rPr>
              <w:t>Cost (€)</w:t>
            </w:r>
          </w:p>
        </w:tc>
        <w:tc>
          <w:tcPr>
            <w:tcW w:w="879" w:type="dxa"/>
            <w:tcBorders>
              <w:top w:val="single" w:sz="4" w:space="0" w:color="000000"/>
              <w:start w:val="single" w:sz="4" w:space="0" w:color="000000"/>
              <w:bottom w:val="single" w:sz="4" w:space="0" w:color="000000"/>
              <w:end w:val="single" w:sz="4" w:space="0" w:color="000000"/>
            </w:tcBorders>
            <w:shd w:color="auto" w:fill="000000" w:themeFill="text1" w:val="clear"/>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sz w:val="20"/>
                <w:szCs w:val="20"/>
                <w:lang w:val="en-US"/>
              </w:rPr>
            </w:pPr>
            <w:r>
              <w:rPr>
                <w:b/>
                <w:bCs/>
                <w:color w:themeColor="background1" w:val="FFFFFF"/>
                <w:kern w:val="2"/>
                <w:sz w:val="20"/>
                <w:szCs w:val="20"/>
                <w:lang w:val="en-US" w:eastAsia="en-US" w:bidi="ar-SA"/>
              </w:rPr>
              <w:t>Calories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7" w:type="dxa"/>
            <w:tcBorders/>
            <w:shd w:color="auto" w:fill="CCCCCC" w:themeFill="text1" w:themeFillTint="33" w:val="clear"/>
          </w:tcPr>
          <w:p>
            <w:pPr>
              <w:pStyle w:val="Normal"/>
              <w:widowControl/>
              <w:spacing w:lineRule="auto" w:line="278" w:before="80" w:after="160"/>
              <w:rPr>
                <w:sz w:val="20"/>
                <w:szCs w:val="20"/>
                <w:lang w:val="en-US"/>
              </w:rPr>
            </w:pPr>
            <w:r>
              <w:rPr>
                <w:b/>
                <w:bCs/>
                <w:kern w:val="2"/>
                <w:sz w:val="20"/>
                <w:szCs w:val="20"/>
                <w:lang w:val="en-US" w:eastAsia="en-US" w:bidi="ar-SA"/>
              </w:rPr>
              <w:t>Trip 0</w:t>
            </w:r>
          </w:p>
        </w:tc>
        <w:tc>
          <w:tcPr>
            <w:tcW w:w="1911"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Car</w:t>
            </w:r>
          </w:p>
        </w:tc>
        <w:tc>
          <w:tcPr>
            <w:tcW w:w="1656"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7.9</w:t>
            </w:r>
          </w:p>
        </w:tc>
        <w:tc>
          <w:tcPr>
            <w:tcW w:w="790"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533.58</w:t>
            </w:r>
          </w:p>
        </w:tc>
        <w:tc>
          <w:tcPr>
            <w:tcW w:w="847"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0.74</w:t>
            </w:r>
          </w:p>
        </w:tc>
        <w:tc>
          <w:tcPr>
            <w:tcW w:w="879"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0</w:t>
            </w:r>
          </w:p>
        </w:tc>
      </w:tr>
      <w:tr>
        <w:trPr/>
        <w:tc>
          <w:tcPr>
            <w:cnfStyle w:val="001000000000" w:firstRow="0" w:lastRow="0" w:firstColumn="1" w:lastColumn="0" w:oddVBand="0" w:evenVBand="0" w:oddHBand="0" w:evenHBand="0" w:firstRowFirstColumn="0" w:firstRowLastColumn="0" w:lastRowFirstColumn="0" w:lastRowLastColumn="0"/>
            <w:tcW w:w="757" w:type="dxa"/>
            <w:tcBorders/>
          </w:tcPr>
          <w:p>
            <w:pPr>
              <w:pStyle w:val="Normal"/>
              <w:widowControl/>
              <w:spacing w:lineRule="auto" w:line="278" w:before="80" w:after="160"/>
              <w:rPr>
                <w:sz w:val="20"/>
                <w:szCs w:val="20"/>
                <w:lang w:val="en-US"/>
              </w:rPr>
            </w:pPr>
            <w:r>
              <w:rPr>
                <w:b/>
                <w:bCs/>
                <w:kern w:val="2"/>
                <w:sz w:val="20"/>
                <w:szCs w:val="20"/>
                <w:lang w:val="en-US" w:eastAsia="en-US" w:bidi="ar-SA"/>
              </w:rPr>
              <w:t>Trip 1</w:t>
            </w:r>
          </w:p>
        </w:tc>
        <w:tc>
          <w:tcPr>
            <w:tcW w:w="1911"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Walk + Bus + Walk</w:t>
            </w:r>
          </w:p>
        </w:tc>
        <w:tc>
          <w:tcPr>
            <w:tcW w:w="1656"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26.6</w:t>
            </w:r>
          </w:p>
        </w:tc>
        <w:tc>
          <w:tcPr>
            <w:tcW w:w="790"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152.13</w:t>
            </w:r>
          </w:p>
        </w:tc>
        <w:tc>
          <w:tcPr>
            <w:tcW w:w="847"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0.60</w:t>
            </w:r>
          </w:p>
        </w:tc>
        <w:tc>
          <w:tcPr>
            <w:tcW w:w="879"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86.9</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7" w:type="dxa"/>
            <w:tcBorders/>
            <w:shd w:color="auto" w:fill="CCCCCC" w:themeFill="text1" w:themeFillTint="33" w:val="clear"/>
          </w:tcPr>
          <w:p>
            <w:pPr>
              <w:pStyle w:val="Normal"/>
              <w:widowControl/>
              <w:spacing w:lineRule="auto" w:line="278" w:before="80" w:after="160"/>
              <w:rPr>
                <w:sz w:val="20"/>
                <w:szCs w:val="20"/>
                <w:lang w:val="en-US"/>
              </w:rPr>
            </w:pPr>
            <w:r>
              <w:rPr>
                <w:b/>
                <w:bCs/>
                <w:kern w:val="2"/>
                <w:sz w:val="20"/>
                <w:szCs w:val="20"/>
                <w:lang w:val="en-US" w:eastAsia="en-US" w:bidi="ar-SA"/>
              </w:rPr>
              <w:t>Trip 2</w:t>
            </w:r>
          </w:p>
        </w:tc>
        <w:tc>
          <w:tcPr>
            <w:tcW w:w="1911"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Walk</w:t>
            </w:r>
          </w:p>
        </w:tc>
        <w:tc>
          <w:tcPr>
            <w:tcW w:w="1656"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51.5</w:t>
            </w:r>
          </w:p>
        </w:tc>
        <w:tc>
          <w:tcPr>
            <w:tcW w:w="790"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0</w:t>
            </w:r>
          </w:p>
        </w:tc>
        <w:tc>
          <w:tcPr>
            <w:tcW w:w="847"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0</w:t>
            </w:r>
          </w:p>
        </w:tc>
        <w:tc>
          <w:tcPr>
            <w:tcW w:w="879"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264.9</w:t>
            </w:r>
          </w:p>
        </w:tc>
      </w:tr>
      <w:tr>
        <w:trPr/>
        <w:tc>
          <w:tcPr>
            <w:cnfStyle w:val="001000000000" w:firstRow="0" w:lastRow="0" w:firstColumn="1" w:lastColumn="0" w:oddVBand="0" w:evenVBand="0" w:oddHBand="0" w:evenHBand="0" w:firstRowFirstColumn="0" w:firstRowLastColumn="0" w:lastRowFirstColumn="0" w:lastRowLastColumn="0"/>
            <w:tcW w:w="757" w:type="dxa"/>
            <w:tcBorders/>
          </w:tcPr>
          <w:p>
            <w:pPr>
              <w:pStyle w:val="Normal"/>
              <w:widowControl/>
              <w:spacing w:lineRule="auto" w:line="278" w:before="80" w:after="160"/>
              <w:rPr>
                <w:sz w:val="20"/>
                <w:szCs w:val="20"/>
                <w:lang w:val="en-US"/>
              </w:rPr>
            </w:pPr>
            <w:r>
              <w:rPr>
                <w:b/>
                <w:bCs/>
                <w:kern w:val="2"/>
                <w:sz w:val="20"/>
                <w:szCs w:val="20"/>
                <w:lang w:val="en-US" w:eastAsia="en-US" w:bidi="ar-SA"/>
              </w:rPr>
              <w:t>Trip 3</w:t>
            </w:r>
          </w:p>
        </w:tc>
        <w:tc>
          <w:tcPr>
            <w:tcW w:w="1911"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Bicycle</w:t>
            </w:r>
          </w:p>
        </w:tc>
        <w:tc>
          <w:tcPr>
            <w:tcW w:w="1656"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35.7</w:t>
            </w:r>
          </w:p>
        </w:tc>
        <w:tc>
          <w:tcPr>
            <w:tcW w:w="790"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0</w:t>
            </w:r>
          </w:p>
        </w:tc>
        <w:tc>
          <w:tcPr>
            <w:tcW w:w="847"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0</w:t>
            </w:r>
          </w:p>
        </w:tc>
        <w:tc>
          <w:tcPr>
            <w:tcW w:w="879"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94.6</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7" w:type="dxa"/>
            <w:tcBorders/>
            <w:shd w:color="auto" w:fill="CCCCCC" w:themeFill="text1" w:themeFillTint="33" w:val="clear"/>
          </w:tcPr>
          <w:p>
            <w:pPr>
              <w:pStyle w:val="Normal"/>
              <w:widowControl/>
              <w:spacing w:lineRule="auto" w:line="278" w:before="80" w:after="160"/>
              <w:rPr>
                <w:sz w:val="20"/>
                <w:szCs w:val="20"/>
                <w:lang w:val="en-US"/>
              </w:rPr>
            </w:pPr>
            <w:r>
              <w:rPr>
                <w:b/>
                <w:bCs/>
                <w:kern w:val="2"/>
                <w:sz w:val="20"/>
                <w:szCs w:val="20"/>
                <w:lang w:val="en-US" w:eastAsia="en-US" w:bidi="ar-SA"/>
              </w:rPr>
              <w:t>Trip 4</w:t>
            </w:r>
          </w:p>
        </w:tc>
        <w:tc>
          <w:tcPr>
            <w:tcW w:w="1911"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Walk + Bicycle</w:t>
            </w:r>
          </w:p>
        </w:tc>
        <w:tc>
          <w:tcPr>
            <w:tcW w:w="1656"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86.3</w:t>
            </w:r>
          </w:p>
        </w:tc>
        <w:tc>
          <w:tcPr>
            <w:tcW w:w="790"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0</w:t>
            </w:r>
          </w:p>
        </w:tc>
        <w:tc>
          <w:tcPr>
            <w:tcW w:w="847"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10.36</w:t>
            </w:r>
          </w:p>
        </w:tc>
        <w:tc>
          <w:tcPr>
            <w:tcW w:w="879"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194.3</w:t>
            </w:r>
          </w:p>
        </w:tc>
      </w:tr>
      <w:tr>
        <w:trPr/>
        <w:tc>
          <w:tcPr>
            <w:cnfStyle w:val="001000000000" w:firstRow="0" w:lastRow="0" w:firstColumn="1" w:lastColumn="0" w:oddVBand="0" w:evenVBand="0" w:oddHBand="0" w:evenHBand="0" w:firstRowFirstColumn="0" w:firstRowLastColumn="0" w:lastRowFirstColumn="0" w:lastRowLastColumn="0"/>
            <w:tcW w:w="757" w:type="dxa"/>
            <w:tcBorders/>
          </w:tcPr>
          <w:p>
            <w:pPr>
              <w:pStyle w:val="Normal"/>
              <w:widowControl/>
              <w:spacing w:lineRule="auto" w:line="278" w:before="80" w:after="160"/>
              <w:rPr>
                <w:sz w:val="20"/>
                <w:szCs w:val="20"/>
                <w:lang w:val="en-US"/>
              </w:rPr>
            </w:pPr>
            <w:r>
              <w:rPr>
                <w:b/>
                <w:bCs/>
                <w:kern w:val="2"/>
                <w:sz w:val="20"/>
                <w:szCs w:val="20"/>
                <w:lang w:val="en-US" w:eastAsia="en-US" w:bidi="ar-SA"/>
              </w:rPr>
              <w:t>Trip 5</w:t>
            </w:r>
          </w:p>
        </w:tc>
        <w:tc>
          <w:tcPr>
            <w:tcW w:w="1911"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Walk + Scooter</w:t>
            </w:r>
          </w:p>
        </w:tc>
        <w:tc>
          <w:tcPr>
            <w:tcW w:w="1656"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69.3</w:t>
            </w:r>
          </w:p>
        </w:tc>
        <w:tc>
          <w:tcPr>
            <w:tcW w:w="790"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0</w:t>
            </w:r>
          </w:p>
        </w:tc>
        <w:tc>
          <w:tcPr>
            <w:tcW w:w="847"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6.96</w:t>
            </w:r>
          </w:p>
        </w:tc>
        <w:tc>
          <w:tcPr>
            <w:tcW w:w="879"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194.3</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7" w:type="dxa"/>
            <w:tcBorders/>
            <w:shd w:color="auto" w:fill="CCCCCC" w:themeFill="text1" w:themeFillTint="33" w:val="clear"/>
          </w:tcPr>
          <w:p>
            <w:pPr>
              <w:pStyle w:val="Normal"/>
              <w:widowControl/>
              <w:spacing w:lineRule="auto" w:line="278" w:before="80" w:after="160"/>
              <w:rPr>
                <w:sz w:val="20"/>
                <w:szCs w:val="20"/>
                <w:lang w:val="en-US"/>
              </w:rPr>
            </w:pPr>
            <w:r>
              <w:rPr>
                <w:b/>
                <w:bCs/>
                <w:kern w:val="2"/>
                <w:sz w:val="20"/>
                <w:szCs w:val="20"/>
                <w:lang w:val="en-US" w:eastAsia="en-US" w:bidi="ar-SA"/>
              </w:rPr>
              <w:t>Trip 6</w:t>
            </w:r>
          </w:p>
        </w:tc>
        <w:tc>
          <w:tcPr>
            <w:tcW w:w="1911"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Walk + Bus + Bicycle</w:t>
            </w:r>
          </w:p>
        </w:tc>
        <w:tc>
          <w:tcPr>
            <w:tcW w:w="1656"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77.3</w:t>
            </w:r>
          </w:p>
        </w:tc>
        <w:tc>
          <w:tcPr>
            <w:tcW w:w="790"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120.59</w:t>
            </w:r>
          </w:p>
        </w:tc>
        <w:tc>
          <w:tcPr>
            <w:tcW w:w="847"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10.96</w:t>
            </w:r>
          </w:p>
        </w:tc>
        <w:tc>
          <w:tcPr>
            <w:tcW w:w="879"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n-US"/>
              </w:rPr>
            </w:pPr>
            <w:r>
              <w:rPr>
                <w:kern w:val="2"/>
                <w:sz w:val="20"/>
                <w:szCs w:val="20"/>
                <w:lang w:val="en-US" w:eastAsia="en-US" w:bidi="ar-SA"/>
              </w:rPr>
              <w:t>82.4</w:t>
            </w:r>
          </w:p>
        </w:tc>
      </w:tr>
      <w:tr>
        <w:trPr/>
        <w:tc>
          <w:tcPr>
            <w:cnfStyle w:val="001000000000" w:firstRow="0" w:lastRow="0" w:firstColumn="1" w:lastColumn="0" w:oddVBand="0" w:evenVBand="0" w:oddHBand="0" w:evenHBand="0" w:firstRowFirstColumn="0" w:firstRowLastColumn="0" w:lastRowFirstColumn="0" w:lastRowLastColumn="0"/>
            <w:tcW w:w="757" w:type="dxa"/>
            <w:tcBorders/>
          </w:tcPr>
          <w:p>
            <w:pPr>
              <w:pStyle w:val="Normal"/>
              <w:widowControl/>
              <w:spacing w:lineRule="auto" w:line="278" w:before="80" w:after="160"/>
              <w:rPr>
                <w:sz w:val="20"/>
                <w:szCs w:val="20"/>
                <w:lang w:val="en-US"/>
              </w:rPr>
            </w:pPr>
            <w:r>
              <w:rPr>
                <w:b/>
                <w:bCs/>
                <w:kern w:val="2"/>
                <w:sz w:val="20"/>
                <w:szCs w:val="20"/>
                <w:lang w:val="en-US" w:eastAsia="en-US" w:bidi="ar-SA"/>
              </w:rPr>
              <w:t>Trip 7</w:t>
            </w:r>
          </w:p>
        </w:tc>
        <w:tc>
          <w:tcPr>
            <w:tcW w:w="1911"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Walk + Bus + Scooter</w:t>
            </w:r>
          </w:p>
        </w:tc>
        <w:tc>
          <w:tcPr>
            <w:tcW w:w="1656"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60.3</w:t>
            </w:r>
          </w:p>
        </w:tc>
        <w:tc>
          <w:tcPr>
            <w:tcW w:w="790"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120.59</w:t>
            </w:r>
          </w:p>
        </w:tc>
        <w:tc>
          <w:tcPr>
            <w:tcW w:w="847"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7.56</w:t>
            </w:r>
          </w:p>
        </w:tc>
        <w:tc>
          <w:tcPr>
            <w:tcW w:w="879"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n-US"/>
              </w:rPr>
            </w:pPr>
            <w:r>
              <w:rPr>
                <w:kern w:val="2"/>
                <w:sz w:val="20"/>
                <w:szCs w:val="20"/>
                <w:lang w:val="en-US" w:eastAsia="en-US" w:bidi="ar-SA"/>
              </w:rPr>
              <w:t>82.4</w:t>
            </w:r>
          </w:p>
        </w:tc>
      </w:tr>
    </w:tbl>
    <w:p>
      <w:pPr>
        <w:pStyle w:val="Normal"/>
        <w:rPr>
          <w:lang w:val="en-US"/>
        </w:rPr>
      </w:pPr>
      <w:r>
        <w:rPr>
          <w:lang w:val="en-US"/>
        </w:rPr>
      </w:r>
    </w:p>
    <w:p>
      <w:pPr>
        <w:pStyle w:val="Normal"/>
        <w:spacing w:before="0" w:after="160"/>
        <w:rPr>
          <w:lang w:val="en-US"/>
        </w:rPr>
      </w:pPr>
      <w:r>
        <w:rPr>
          <w:lang w:val="en-US"/>
        </w:rPr>
        <w:t>After applying the travel time filter, the candidate set becomes:</w:t>
      </w:r>
    </w:p>
    <w:p>
      <w:pPr>
        <w:pStyle w:val="Normal"/>
        <w:spacing w:before="80" w:after="160"/>
        <w:jc w:val="center"/>
        <w:rPr>
          <w:lang w:val="en-US"/>
        </w:rPr>
      </w:pPr>
      <w:r>
        <w:rPr/>
      </w:r>
      <m:oMathPara xmlns:m="http://schemas.openxmlformats.org/officeDocument/2006/math">
        <m:oMathParaPr>
          <m:jc m:val="center"/>
        </m:oMathParaPr>
        <m:oMath>
          <m:sSup>
            <m:e>
              <m:r>
                <m:t xml:space="preserve">I</m:t>
              </m:r>
            </m:e>
            <m:sup>
              <m:d>
                <m:dPr>
                  <m:begChr m:val="("/>
                  <m:endChr m:val=")"/>
                </m:dPr>
                <m:e>
                  <m:r>
                    <m:t xml:space="preserve">3</m:t>
                  </m:r>
                </m:e>
              </m:d>
            </m:sup>
          </m:sSup>
          <m:r>
            <m:rPr>
              <m:lit/>
              <m:nor/>
            </m:rPr>
            <m:t xml:space="preserve">=</m:t>
          </m:r>
          <m:r>
            <m:t xml:space="preserve">{</m:t>
          </m:r>
          <m:r>
            <m:rPr>
              <m:lit/>
              <m:nor/>
            </m:rPr>
            <m:t xml:space="preserve">Trip 0</m:t>
          </m:r>
          <m:r>
            <m:t xml:space="preserve">,</m:t>
          </m:r>
          <m:r>
            <m:rPr>
              <m:lit/>
              <m:nor/>
            </m:rPr>
            <m:t xml:space="preserve">Trip 1</m:t>
          </m:r>
          <m:r>
            <m:t xml:space="preserve">,</m:t>
          </m:r>
          <m:r>
            <m:rPr>
              <m:lit/>
              <m:nor/>
            </m:rPr>
            <m:t xml:space="preserve">Trip 3</m:t>
          </m:r>
          <m:r>
            <m:t xml:space="preserve">}</m:t>
          </m:r>
        </m:oMath>
      </m:oMathPara>
    </w:p>
    <w:p>
      <w:pPr>
        <w:pStyle w:val="Normal"/>
        <w:spacing w:before="0" w:after="160"/>
        <w:rPr>
          <w:lang w:val="en-US"/>
        </w:rPr>
      </w:pPr>
      <w:r>
        <w:rPr>
          <w:lang w:val="en-US"/>
        </w:rPr>
        <w:t>These correspond to the car, public transport, and bicycle alternatives respectively.</w:t>
      </w:r>
    </w:p>
    <w:p>
      <w:pPr>
        <w:pStyle w:val="Normal"/>
        <w:spacing w:before="0" w:after="160"/>
        <w:rPr>
          <w:lang w:val="en-US"/>
        </w:rPr>
      </w:pPr>
      <w:r>
        <w:rPr>
          <w:lang w:val="en-US"/>
        </w:rPr>
        <w:t>During registration, users are asked to indicate the relative importance of several travel decision criteria. The example preference profile is shown below.</w:t>
      </w:r>
    </w:p>
    <w:tbl>
      <w:tblPr>
        <w:tblStyle w:val="GridTable4"/>
        <w:tblW w:w="293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694"/>
        <w:gridCol w:w="1237"/>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4" w:type="dxa"/>
            <w:tcBorders>
              <w:top w:val="single" w:sz="4" w:space="0" w:color="000000"/>
              <w:start w:val="single" w:sz="4" w:space="0" w:color="000000"/>
              <w:bottom w:val="single" w:sz="4" w:space="0" w:color="000000"/>
              <w:end w:val="single" w:sz="4" w:space="0" w:color="000000"/>
            </w:tcBorders>
            <w:shd w:color="auto" w:fill="000000" w:themeFill="text1" w:val="clear"/>
          </w:tcPr>
          <w:p>
            <w:pPr>
              <w:pStyle w:val="Normal"/>
              <w:widowControl/>
              <w:spacing w:lineRule="auto" w:line="278" w:before="80" w:after="160"/>
              <w:jc w:val="start"/>
              <w:rPr>
                <w:sz w:val="20"/>
                <w:szCs w:val="20"/>
                <w:lang w:val="el-GR"/>
              </w:rPr>
            </w:pPr>
            <w:r>
              <w:rPr>
                <w:b/>
                <w:bCs/>
                <w:color w:themeColor="background1" w:val="FFFFFF"/>
                <w:kern w:val="2"/>
                <w:sz w:val="20"/>
                <w:szCs w:val="20"/>
                <w:lang w:val="el-GR" w:eastAsia="en-US" w:bidi="ar-SA"/>
              </w:rPr>
              <w:t>Decision Criterion</w:t>
            </w:r>
          </w:p>
        </w:tc>
        <w:tc>
          <w:tcPr>
            <w:tcW w:w="1237" w:type="dxa"/>
            <w:tcBorders>
              <w:top w:val="single" w:sz="4" w:space="0" w:color="000000"/>
              <w:start w:val="single" w:sz="4" w:space="0" w:color="000000"/>
              <w:bottom w:val="single" w:sz="4" w:space="0" w:color="000000"/>
              <w:end w:val="single" w:sz="4" w:space="0" w:color="000000"/>
            </w:tcBorders>
            <w:shd w:color="auto" w:fill="000000" w:themeFill="text1" w:val="clear"/>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sz w:val="20"/>
                <w:szCs w:val="20"/>
                <w:lang w:val="el-GR"/>
              </w:rPr>
            </w:pPr>
            <w:r>
              <w:rPr>
                <w:b/>
                <w:bCs/>
                <w:color w:themeColor="background1" w:val="FFFFFF"/>
                <w:kern w:val="2"/>
                <w:sz w:val="20"/>
                <w:szCs w:val="20"/>
                <w:lang w:val="el-GR" w:eastAsia="en-US" w:bidi="ar-SA"/>
              </w:rPr>
              <w:t>User Weight</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4" w:type="dxa"/>
            <w:tcBorders/>
            <w:shd w:color="auto" w:fill="CCCCCC" w:themeFill="text1" w:themeFillTint="33" w:val="clear"/>
          </w:tcPr>
          <w:p>
            <w:pPr>
              <w:pStyle w:val="Normal"/>
              <w:widowControl/>
              <w:spacing w:lineRule="auto" w:line="278" w:before="80" w:after="160"/>
              <w:rPr>
                <w:sz w:val="20"/>
                <w:szCs w:val="20"/>
                <w:lang w:val="el-GR"/>
              </w:rPr>
            </w:pPr>
            <w:r>
              <w:rPr>
                <w:b/>
                <w:bCs/>
                <w:kern w:val="2"/>
                <w:sz w:val="20"/>
                <w:szCs w:val="20"/>
                <w:lang w:val="el-GR" w:eastAsia="en-US" w:bidi="ar-SA"/>
              </w:rPr>
              <w:t>Time</w:t>
            </w:r>
          </w:p>
        </w:tc>
        <w:tc>
          <w:tcPr>
            <w:tcW w:w="1237"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l-GR"/>
              </w:rPr>
            </w:pPr>
            <w:r>
              <w:rPr>
                <w:kern w:val="2"/>
                <w:sz w:val="20"/>
                <w:szCs w:val="20"/>
                <w:lang w:val="el-GR" w:eastAsia="en-US" w:bidi="ar-SA"/>
              </w:rPr>
              <w:t>4</w:t>
            </w:r>
          </w:p>
        </w:tc>
      </w:tr>
      <w:tr>
        <w:trPr/>
        <w:tc>
          <w:tcPr>
            <w:cnfStyle w:val="001000000000" w:firstRow="0" w:lastRow="0" w:firstColumn="1" w:lastColumn="0" w:oddVBand="0" w:evenVBand="0" w:oddHBand="0" w:evenHBand="0" w:firstRowFirstColumn="0" w:firstRowLastColumn="0" w:lastRowFirstColumn="0" w:lastRowLastColumn="0"/>
            <w:tcW w:w="1694" w:type="dxa"/>
            <w:tcBorders/>
          </w:tcPr>
          <w:p>
            <w:pPr>
              <w:pStyle w:val="Normal"/>
              <w:widowControl/>
              <w:spacing w:lineRule="auto" w:line="278" w:before="80" w:after="160"/>
              <w:rPr>
                <w:sz w:val="20"/>
                <w:szCs w:val="20"/>
                <w:lang w:val="el-GR"/>
              </w:rPr>
            </w:pPr>
            <w:r>
              <w:rPr>
                <w:b/>
                <w:bCs/>
                <w:kern w:val="2"/>
                <w:sz w:val="20"/>
                <w:szCs w:val="20"/>
                <w:lang w:val="el-GR" w:eastAsia="en-US" w:bidi="ar-SA"/>
              </w:rPr>
              <w:t>Cost</w:t>
            </w:r>
          </w:p>
        </w:tc>
        <w:tc>
          <w:tcPr>
            <w:tcW w:w="1237"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l-GR"/>
              </w:rPr>
            </w:pPr>
            <w:r>
              <w:rPr>
                <w:kern w:val="2"/>
                <w:sz w:val="20"/>
                <w:szCs w:val="20"/>
                <w:lang w:val="el-GR" w:eastAsia="en-US" w:bidi="ar-SA"/>
              </w:rPr>
              <w:t>2</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4" w:type="dxa"/>
            <w:tcBorders/>
            <w:shd w:color="auto" w:fill="CCCCCC" w:themeFill="text1" w:themeFillTint="33" w:val="clear"/>
          </w:tcPr>
          <w:p>
            <w:pPr>
              <w:pStyle w:val="Normal"/>
              <w:widowControl/>
              <w:spacing w:lineRule="auto" w:line="278" w:before="80" w:after="160"/>
              <w:rPr>
                <w:sz w:val="20"/>
                <w:szCs w:val="20"/>
                <w:lang w:val="el-GR"/>
              </w:rPr>
            </w:pPr>
            <w:r>
              <w:rPr>
                <w:b/>
                <w:bCs/>
                <w:kern w:val="2"/>
                <w:sz w:val="20"/>
                <w:szCs w:val="20"/>
                <w:lang w:val="el-GR" w:eastAsia="en-US" w:bidi="ar-SA"/>
              </w:rPr>
              <w:t>Comfort</w:t>
            </w:r>
          </w:p>
        </w:tc>
        <w:tc>
          <w:tcPr>
            <w:tcW w:w="1237"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l-GR"/>
              </w:rPr>
            </w:pPr>
            <w:r>
              <w:rPr>
                <w:kern w:val="2"/>
                <w:sz w:val="20"/>
                <w:szCs w:val="20"/>
                <w:lang w:val="el-GR" w:eastAsia="en-US" w:bidi="ar-SA"/>
              </w:rPr>
              <w:t>1</w:t>
            </w:r>
          </w:p>
        </w:tc>
      </w:tr>
      <w:tr>
        <w:trPr/>
        <w:tc>
          <w:tcPr>
            <w:cnfStyle w:val="001000000000" w:firstRow="0" w:lastRow="0" w:firstColumn="1" w:lastColumn="0" w:oddVBand="0" w:evenVBand="0" w:oddHBand="0" w:evenHBand="0" w:firstRowFirstColumn="0" w:firstRowLastColumn="0" w:lastRowFirstColumn="0" w:lastRowLastColumn="0"/>
            <w:tcW w:w="1694" w:type="dxa"/>
            <w:tcBorders/>
          </w:tcPr>
          <w:p>
            <w:pPr>
              <w:pStyle w:val="Normal"/>
              <w:widowControl/>
              <w:spacing w:lineRule="auto" w:line="278" w:before="80" w:after="160"/>
              <w:rPr>
                <w:sz w:val="20"/>
                <w:szCs w:val="20"/>
                <w:lang w:val="el-GR"/>
              </w:rPr>
            </w:pPr>
            <w:r>
              <w:rPr>
                <w:b/>
                <w:bCs/>
                <w:kern w:val="2"/>
                <w:sz w:val="20"/>
                <w:szCs w:val="20"/>
                <w:lang w:val="el-GR" w:eastAsia="en-US" w:bidi="ar-SA"/>
              </w:rPr>
              <w:t>Convenience</w:t>
            </w:r>
          </w:p>
        </w:tc>
        <w:tc>
          <w:tcPr>
            <w:tcW w:w="1237"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l-GR"/>
              </w:rPr>
            </w:pPr>
            <w:r>
              <w:rPr>
                <w:kern w:val="2"/>
                <w:sz w:val="20"/>
                <w:szCs w:val="20"/>
                <w:lang w:val="el-GR" w:eastAsia="en-US" w:bidi="ar-SA"/>
              </w:rPr>
              <w:t>1</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4" w:type="dxa"/>
            <w:tcBorders/>
            <w:shd w:color="auto" w:fill="CCCCCC" w:themeFill="text1" w:themeFillTint="33" w:val="clear"/>
          </w:tcPr>
          <w:p>
            <w:pPr>
              <w:pStyle w:val="Normal"/>
              <w:widowControl/>
              <w:spacing w:lineRule="auto" w:line="278" w:before="80" w:after="160"/>
              <w:rPr>
                <w:sz w:val="20"/>
                <w:szCs w:val="20"/>
                <w:lang w:val="el-GR"/>
              </w:rPr>
            </w:pPr>
            <w:r>
              <w:rPr>
                <w:b/>
                <w:bCs/>
                <w:kern w:val="2"/>
                <w:sz w:val="20"/>
                <w:szCs w:val="20"/>
                <w:lang w:val="el-GR" w:eastAsia="en-US" w:bidi="ar-SA"/>
              </w:rPr>
              <w:t>Reliability</w:t>
            </w:r>
          </w:p>
        </w:tc>
        <w:tc>
          <w:tcPr>
            <w:tcW w:w="1237"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l-GR"/>
              </w:rPr>
            </w:pPr>
            <w:r>
              <w:rPr>
                <w:kern w:val="2"/>
                <w:sz w:val="20"/>
                <w:szCs w:val="20"/>
                <w:lang w:val="el-GR" w:eastAsia="en-US" w:bidi="ar-SA"/>
              </w:rPr>
              <w:t>1</w:t>
            </w:r>
          </w:p>
        </w:tc>
      </w:tr>
      <w:tr>
        <w:trPr/>
        <w:tc>
          <w:tcPr>
            <w:cnfStyle w:val="001000000000" w:firstRow="0" w:lastRow="0" w:firstColumn="1" w:lastColumn="0" w:oddVBand="0" w:evenVBand="0" w:oddHBand="0" w:evenHBand="0" w:firstRowFirstColumn="0" w:firstRowLastColumn="0" w:lastRowFirstColumn="0" w:lastRowLastColumn="0"/>
            <w:tcW w:w="1694" w:type="dxa"/>
            <w:tcBorders/>
          </w:tcPr>
          <w:p>
            <w:pPr>
              <w:pStyle w:val="Normal"/>
              <w:widowControl/>
              <w:spacing w:lineRule="auto" w:line="278" w:before="80" w:after="160"/>
              <w:rPr>
                <w:sz w:val="20"/>
                <w:szCs w:val="20"/>
                <w:lang w:val="el-GR"/>
              </w:rPr>
            </w:pPr>
            <w:r>
              <w:rPr>
                <w:b/>
                <w:bCs/>
                <w:kern w:val="2"/>
                <w:sz w:val="20"/>
                <w:szCs w:val="20"/>
                <w:lang w:val="el-GR" w:eastAsia="en-US" w:bidi="ar-SA"/>
              </w:rPr>
              <w:t>Environment</w:t>
            </w:r>
          </w:p>
        </w:tc>
        <w:tc>
          <w:tcPr>
            <w:tcW w:w="1237"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sz w:val="20"/>
                <w:szCs w:val="20"/>
                <w:lang w:val="el-GR"/>
              </w:rPr>
            </w:pPr>
            <w:r>
              <w:rPr>
                <w:kern w:val="2"/>
                <w:sz w:val="20"/>
                <w:szCs w:val="20"/>
                <w:lang w:val="el-GR" w:eastAsia="en-US" w:bidi="ar-SA"/>
              </w:rPr>
              <w:t>1</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4" w:type="dxa"/>
            <w:tcBorders/>
            <w:shd w:color="auto" w:fill="CCCCCC" w:themeFill="text1" w:themeFillTint="33" w:val="clear"/>
          </w:tcPr>
          <w:p>
            <w:pPr>
              <w:pStyle w:val="Normal"/>
              <w:widowControl/>
              <w:spacing w:lineRule="auto" w:line="278" w:before="80" w:after="160"/>
              <w:rPr>
                <w:sz w:val="20"/>
                <w:szCs w:val="20"/>
                <w:lang w:val="el-GR"/>
              </w:rPr>
            </w:pPr>
            <w:r>
              <w:rPr>
                <w:b/>
                <w:bCs/>
                <w:kern w:val="2"/>
                <w:sz w:val="20"/>
                <w:szCs w:val="20"/>
                <w:lang w:val="el-GR" w:eastAsia="en-US" w:bidi="ar-SA"/>
              </w:rPr>
              <w:t>Health</w:t>
            </w:r>
          </w:p>
        </w:tc>
        <w:tc>
          <w:tcPr>
            <w:tcW w:w="1237" w:type="dxa"/>
            <w:tcBorders/>
            <w:shd w:color="auto" w:fill="CCCCCC" w:themeFill="text1" w:themeFillTint="33" w:val="clear"/>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sz w:val="20"/>
                <w:szCs w:val="20"/>
                <w:lang w:val="el-GR"/>
              </w:rPr>
            </w:pPr>
            <w:r>
              <w:rPr>
                <w:kern w:val="2"/>
                <w:sz w:val="20"/>
                <w:szCs w:val="20"/>
                <w:lang w:val="el-GR" w:eastAsia="en-US" w:bidi="ar-SA"/>
              </w:rPr>
              <w:t>1</w:t>
            </w:r>
          </w:p>
        </w:tc>
      </w:tr>
    </w:tbl>
    <w:p>
      <w:pPr>
        <w:pStyle w:val="Normal"/>
        <w:spacing w:before="0" w:after="160"/>
        <w:rPr>
          <w:lang w:val="en-US"/>
        </w:rPr>
      </w:pPr>
      <w:r>
        <w:rPr>
          <w:lang w:val="en-US"/>
        </w:rPr>
      </w:r>
    </w:p>
    <w:p>
      <w:pPr>
        <w:pStyle w:val="Normal"/>
        <w:spacing w:before="0" w:after="160"/>
        <w:rPr>
          <w:lang w:val="en-US"/>
        </w:rPr>
      </w:pPr>
      <w:r>
        <w:rPr>
          <w:lang w:val="en-US"/>
        </w:rPr>
        <w:t>Not all these dimensions are directly available from the trip planner output. Therefore, the method maps each criterion to a measurable proxy derived from the itinerary attributes.</w:t>
      </w:r>
    </w:p>
    <w:tbl>
      <w:tblPr>
        <w:tblStyle w:val="GridTable5Dark"/>
        <w:tblW w:w="6938" w:type="dxa"/>
        <w:jc w:val="start"/>
        <w:tblInd w:w="0" w:type="dxa"/>
        <w:shd w:fill="CCCCCC" w:val="clear"/>
        <w:tblLayout w:type="fixed"/>
        <w:tblCellMar>
          <w:top w:w="0" w:type="dxa"/>
          <w:start w:w="108" w:type="dxa"/>
          <w:bottom w:w="0" w:type="dxa"/>
          <w:end w:w="108" w:type="dxa"/>
        </w:tblCellMar>
        <w:tblLook w:val="06a0" w:firstRow="1" w:noVBand="1" w:lastRow="0" w:firstColumn="1" w:lastColumn="0" w:noHBand="1"/>
      </w:tblPr>
      <w:tblGrid>
        <w:gridCol w:w="2231"/>
        <w:gridCol w:w="1528"/>
        <w:gridCol w:w="3179"/>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1" w:type="dxa"/>
            <w:tcBorders/>
            <w:shd w:color="auto" w:fill="000000" w:themeFill="text1" w:val="clear"/>
          </w:tcPr>
          <w:p>
            <w:pPr>
              <w:pStyle w:val="Normal"/>
              <w:widowControl/>
              <w:spacing w:lineRule="auto" w:line="278" w:before="80" w:after="160"/>
              <w:jc w:val="start"/>
              <w:rPr>
                <w:lang w:val="en-US"/>
              </w:rPr>
            </w:pPr>
            <w:r>
              <w:rPr>
                <w:b/>
                <w:bCs/>
                <w:color w:themeColor="background1" w:val="FFFFFF"/>
                <w:kern w:val="2"/>
                <w:lang w:val="en-US" w:eastAsia="en-US" w:bidi="ar-SA"/>
              </w:rPr>
              <w:t>Preference Dimension</w:t>
            </w:r>
          </w:p>
        </w:tc>
        <w:tc>
          <w:tcPr>
            <w:tcW w:w="1528" w:type="dxa"/>
            <w:tcBorders>
              <w:bottom w:val="nil"/>
            </w:tcBorders>
            <w:shd w:color="auto" w:fill="000000" w:themeFill="text1" w:val="clear"/>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lang w:val="en-US"/>
              </w:rPr>
            </w:pPr>
            <w:r>
              <w:rPr>
                <w:b/>
                <w:bCs/>
                <w:color w:themeColor="background1" w:val="FFFFFF"/>
                <w:kern w:val="2"/>
                <w:lang w:val="en-US" w:eastAsia="en-US" w:bidi="ar-SA"/>
              </w:rPr>
              <w:t>Proxy Variable</w:t>
            </w:r>
          </w:p>
        </w:tc>
        <w:tc>
          <w:tcPr>
            <w:tcW w:w="3179" w:type="dxa"/>
            <w:tcBorders>
              <w:bottom w:val="nil"/>
            </w:tcBorders>
            <w:shd w:color="auto" w:fill="000000" w:themeFill="text1" w:val="clear"/>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lang w:val="en-US"/>
              </w:rPr>
            </w:pPr>
            <w:r>
              <w:rPr>
                <w:b/>
                <w:bCs/>
                <w:color w:themeColor="background1" w:val="FFFFFF"/>
                <w:kern w:val="2"/>
                <w:lang w:val="en-US" w:eastAsia="en-US" w:bidi="ar-SA"/>
              </w:rPr>
              <w:t>Description</w:t>
            </w:r>
          </w:p>
        </w:tc>
      </w:tr>
      <w:tr>
        <w:trPr/>
        <w:tc>
          <w:tcPr>
            <w:cnfStyle w:val="001000000000" w:firstRow="0" w:lastRow="0" w:firstColumn="1" w:lastColumn="0" w:oddVBand="0" w:evenVBand="0" w:oddHBand="0" w:evenHBand="0" w:firstRowFirstColumn="0" w:firstRowLastColumn="0" w:lastRowFirstColumn="0" w:lastRowLastColumn="0"/>
            <w:tcW w:w="2231" w:type="dxa"/>
            <w:tcBorders>
              <w:end w:val="nil"/>
            </w:tcBorders>
            <w:shd w:color="auto" w:fill="000000" w:themeFill="text1" w:val="clear"/>
          </w:tcPr>
          <w:p>
            <w:pPr>
              <w:pStyle w:val="Normal"/>
              <w:widowControl/>
              <w:spacing w:lineRule="auto" w:line="278" w:before="80" w:after="160"/>
              <w:rPr>
                <w:lang w:val="en-US"/>
              </w:rPr>
            </w:pPr>
            <w:r>
              <w:rPr>
                <w:b/>
                <w:bCs/>
                <w:color w:themeColor="background1" w:val="FFFFFF"/>
                <w:kern w:val="2"/>
                <w:lang w:val="en-US" w:eastAsia="en-US" w:bidi="ar-SA"/>
              </w:rPr>
              <w:t>Time</w:t>
            </w:r>
          </w:p>
        </w:tc>
        <w:tc>
          <w:tcPr>
            <w:tcW w:w="1528" w:type="dxa"/>
            <w:tcBorders/>
            <w:shd w:color="auto" w:fill="CCCCCC" w:themeFill="text1" w:themeFillTint="33" w:val="clear"/>
          </w:tcPr>
          <w:p>
            <w:pPr>
              <w:pStyle w:val="Normal"/>
              <w:widowControl/>
              <w:spacing w:lineRule="auto" w:line="278" w:before="80" w:after="160"/>
              <w:jc w:val="center"/>
              <w:cnfStyle w:val="000000000000" w:firstRow="0" w:lastRow="0" w:firstColumn="0" w:lastColumn="0" w:oddVBand="0" w:evenVBand="0" w:oddHBand="0" w:evenHBand="0" w:firstRowFirstColumn="0" w:firstRowLastColumn="0" w:lastRowFirstColumn="0" w:lastRowLastColumn="0"/>
              <w:rPr>
                <w:lang w:val="en-US"/>
              </w:rPr>
            </w:pPr>
            <w:r>
              <w:rPr>
                <w:kern w:val="2"/>
                <w:lang w:eastAsia="en-US" w:bidi="ar-SA"/>
              </w:rPr>
            </w:r>
            <m:oMathPara xmlns:m="http://schemas.openxmlformats.org/officeDocument/2006/math">
              <m:oMathParaPr>
                <m:jc m:val="center"/>
              </m:oMathParaPr>
              <m:oMath>
                <m:sSub>
                  <m:e>
                    <m:r>
                      <m:t xml:space="preserve">t</m:t>
                    </m:r>
                  </m:e>
                  <m:sub>
                    <m:r>
                      <m:t xml:space="preserve">i</m:t>
                    </m:r>
                  </m:sub>
                </m:sSub>
              </m:oMath>
            </m:oMathPara>
          </w:p>
        </w:tc>
        <w:tc>
          <w:tcPr>
            <w:tcW w:w="3179" w:type="dxa"/>
            <w:tcBorders/>
            <w:shd w:color="auto" w:fill="CCCCCC" w:themeFill="text1" w:themeFillTint="33" w:val="clear"/>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Total travel time</w:t>
            </w:r>
          </w:p>
        </w:tc>
      </w:tr>
      <w:tr>
        <w:trPr/>
        <w:tc>
          <w:tcPr>
            <w:cnfStyle w:val="001000000000" w:firstRow="0" w:lastRow="0" w:firstColumn="1" w:lastColumn="0" w:oddVBand="0" w:evenVBand="0" w:oddHBand="0" w:evenHBand="0" w:firstRowFirstColumn="0" w:firstRowLastColumn="0" w:lastRowFirstColumn="0" w:lastRowLastColumn="0"/>
            <w:tcW w:w="2231" w:type="dxa"/>
            <w:tcBorders>
              <w:end w:val="nil"/>
            </w:tcBorders>
            <w:shd w:color="auto" w:fill="000000" w:themeFill="text1" w:val="clear"/>
          </w:tcPr>
          <w:p>
            <w:pPr>
              <w:pStyle w:val="Normal"/>
              <w:widowControl/>
              <w:spacing w:lineRule="auto" w:line="278" w:before="80" w:after="160"/>
              <w:rPr>
                <w:lang w:val="en-US"/>
              </w:rPr>
            </w:pPr>
            <w:r>
              <w:rPr>
                <w:b/>
                <w:bCs/>
                <w:color w:themeColor="background1" w:val="FFFFFF"/>
                <w:kern w:val="2"/>
                <w:lang w:val="en-US" w:eastAsia="en-US" w:bidi="ar-SA"/>
              </w:rPr>
              <w:t>Cost</w:t>
            </w:r>
          </w:p>
        </w:tc>
        <w:tc>
          <w:tcPr>
            <w:tcW w:w="1528" w:type="dxa"/>
            <w:tcBorders/>
            <w:shd w:color="auto" w:fill="CCCCCC" w:themeFill="text1" w:themeFillTint="33" w:val="clear"/>
          </w:tcPr>
          <w:p>
            <w:pPr>
              <w:pStyle w:val="Normal"/>
              <w:widowControl/>
              <w:spacing w:lineRule="auto" w:line="278" w:before="80" w:after="160"/>
              <w:jc w:val="center"/>
              <w:cnfStyle w:val="000000000000" w:firstRow="0" w:lastRow="0" w:firstColumn="0" w:lastColumn="0" w:oddVBand="0" w:evenVBand="0" w:oddHBand="0" w:evenHBand="0" w:firstRowFirstColumn="0" w:firstRowLastColumn="0" w:lastRowFirstColumn="0" w:lastRowLastColumn="0"/>
              <w:rPr>
                <w:lang w:val="en-US"/>
              </w:rPr>
            </w:pPr>
            <w:r>
              <w:rPr>
                <w:kern w:val="2"/>
                <w:lang w:eastAsia="en-US" w:bidi="ar-SA"/>
              </w:rPr>
            </w:r>
            <m:oMathPara xmlns:m="http://schemas.openxmlformats.org/officeDocument/2006/math">
              <m:oMathParaPr>
                <m:jc m:val="center"/>
              </m:oMathParaPr>
              <m:oMath>
                <m:sSub>
                  <m:e>
                    <m:r>
                      <m:t xml:space="preserve">c</m:t>
                    </m:r>
                  </m:e>
                  <m:sub>
                    <m:r>
                      <m:t xml:space="preserve">i</m:t>
                    </m:r>
                  </m:sub>
                </m:sSub>
              </m:oMath>
            </m:oMathPara>
          </w:p>
        </w:tc>
        <w:tc>
          <w:tcPr>
            <w:tcW w:w="3179" w:type="dxa"/>
            <w:tcBorders/>
            <w:shd w:color="auto" w:fill="CCCCCC" w:themeFill="text1" w:themeFillTint="33" w:val="clear"/>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Financial travel cost, Parking Cost</w:t>
            </w:r>
          </w:p>
        </w:tc>
      </w:tr>
      <w:tr>
        <w:trPr/>
        <w:tc>
          <w:tcPr>
            <w:cnfStyle w:val="001000000000" w:firstRow="0" w:lastRow="0" w:firstColumn="1" w:lastColumn="0" w:oddVBand="0" w:evenVBand="0" w:oddHBand="0" w:evenHBand="0" w:firstRowFirstColumn="0" w:firstRowLastColumn="0" w:lastRowFirstColumn="0" w:lastRowLastColumn="0"/>
            <w:tcW w:w="2231" w:type="dxa"/>
            <w:tcBorders>
              <w:end w:val="nil"/>
            </w:tcBorders>
            <w:shd w:color="auto" w:fill="000000" w:themeFill="text1" w:val="clear"/>
          </w:tcPr>
          <w:p>
            <w:pPr>
              <w:pStyle w:val="Normal"/>
              <w:widowControl/>
              <w:spacing w:lineRule="auto" w:line="278" w:before="80" w:after="160"/>
              <w:rPr>
                <w:lang w:val="en-US"/>
              </w:rPr>
            </w:pPr>
            <w:r>
              <w:rPr>
                <w:b/>
                <w:bCs/>
                <w:color w:themeColor="background1" w:val="FFFFFF"/>
                <w:kern w:val="2"/>
                <w:lang w:val="en-US" w:eastAsia="en-US" w:bidi="ar-SA"/>
              </w:rPr>
              <w:t>Comfort</w:t>
            </w:r>
          </w:p>
        </w:tc>
        <w:tc>
          <w:tcPr>
            <w:tcW w:w="1528" w:type="dxa"/>
            <w:tcBorders/>
            <w:shd w:color="auto" w:fill="CCCCCC" w:themeFill="text1" w:themeFillTint="33" w:val="clear"/>
          </w:tcPr>
          <w:p>
            <w:pPr>
              <w:pStyle w:val="Normal"/>
              <w:widowControl/>
              <w:spacing w:lineRule="auto" w:line="278" w:before="80" w:after="160"/>
              <w:jc w:val="center"/>
              <w:cnfStyle w:val="000000000000" w:firstRow="0" w:lastRow="0" w:firstColumn="0" w:lastColumn="0" w:oddVBand="0" w:evenVBand="0" w:oddHBand="0" w:evenHBand="0" w:firstRowFirstColumn="0" w:firstRowLastColumn="0" w:lastRowFirstColumn="0" w:lastRowLastColumn="0"/>
              <w:rPr>
                <w:lang w:val="en-US"/>
              </w:rPr>
            </w:pPr>
            <w:r>
              <w:rPr>
                <w:kern w:val="2"/>
                <w:lang w:eastAsia="en-US" w:bidi="ar-SA"/>
              </w:rPr>
            </w:r>
            <m:oMathPara xmlns:m="http://schemas.openxmlformats.org/officeDocument/2006/math">
              <m:oMathParaPr>
                <m:jc m:val="center"/>
              </m:oMathParaPr>
              <m:oMath>
                <m:sSub>
                  <m:e>
                    <m:r>
                      <m:t xml:space="preserve">w</m:t>
                    </m:r>
                  </m:e>
                  <m:sub>
                    <m:r>
                      <m:t xml:space="preserve">i</m:t>
                    </m:r>
                  </m:sub>
                </m:sSub>
              </m:oMath>
            </m:oMathPara>
          </w:p>
        </w:tc>
        <w:tc>
          <w:tcPr>
            <w:tcW w:w="3179" w:type="dxa"/>
            <w:tcBorders/>
            <w:shd w:color="auto" w:fill="CCCCCC" w:themeFill="text1" w:themeFillTint="33" w:val="clear"/>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Walking time</w:t>
            </w:r>
          </w:p>
        </w:tc>
      </w:tr>
      <w:tr>
        <w:trPr/>
        <w:tc>
          <w:tcPr>
            <w:cnfStyle w:val="001000000000" w:firstRow="0" w:lastRow="0" w:firstColumn="1" w:lastColumn="0" w:oddVBand="0" w:evenVBand="0" w:oddHBand="0" w:evenHBand="0" w:firstRowFirstColumn="0" w:firstRowLastColumn="0" w:lastRowFirstColumn="0" w:lastRowLastColumn="0"/>
            <w:tcW w:w="2231" w:type="dxa"/>
            <w:tcBorders>
              <w:end w:val="nil"/>
            </w:tcBorders>
            <w:shd w:color="auto" w:fill="000000" w:themeFill="text1" w:val="clear"/>
          </w:tcPr>
          <w:p>
            <w:pPr>
              <w:pStyle w:val="Normal"/>
              <w:widowControl/>
              <w:spacing w:lineRule="auto" w:line="278" w:before="80" w:after="160"/>
              <w:rPr>
                <w:lang w:val="en-US"/>
              </w:rPr>
            </w:pPr>
            <w:r>
              <w:rPr>
                <w:b/>
                <w:bCs/>
                <w:color w:themeColor="background1" w:val="FFFFFF"/>
                <w:kern w:val="2"/>
                <w:lang w:val="en-US" w:eastAsia="en-US" w:bidi="ar-SA"/>
              </w:rPr>
              <w:t>Convenience</w:t>
            </w:r>
          </w:p>
        </w:tc>
        <w:tc>
          <w:tcPr>
            <w:tcW w:w="1528" w:type="dxa"/>
            <w:tcBorders/>
            <w:shd w:color="auto" w:fill="CCCCCC" w:themeFill="text1" w:themeFillTint="33" w:val="clear"/>
          </w:tcPr>
          <w:p>
            <w:pPr>
              <w:pStyle w:val="Normal"/>
              <w:widowControl/>
              <w:spacing w:lineRule="auto" w:line="278" w:before="80" w:after="160"/>
              <w:jc w:val="center"/>
              <w:cnfStyle w:val="000000000000" w:firstRow="0" w:lastRow="0" w:firstColumn="0" w:lastColumn="0" w:oddVBand="0" w:evenVBand="0" w:oddHBand="0" w:evenHBand="0" w:firstRowFirstColumn="0" w:firstRowLastColumn="0" w:lastRowFirstColumn="0" w:lastRowLastColumn="0"/>
              <w:rPr>
                <w:lang w:val="en-US"/>
              </w:rPr>
            </w:pPr>
            <w:r>
              <w:rPr>
                <w:kern w:val="2"/>
                <w:lang w:eastAsia="en-US" w:bidi="ar-SA"/>
              </w:rPr>
            </w:r>
            <m:oMathPara xmlns:m="http://schemas.openxmlformats.org/officeDocument/2006/math">
              <m:oMathParaPr>
                <m:jc m:val="center"/>
              </m:oMathParaPr>
              <m:oMath>
                <m:sSub>
                  <m:e>
                    <m:r>
                      <m:t xml:space="preserve">r</m:t>
                    </m:r>
                  </m:e>
                  <m:sub>
                    <m:r>
                      <m:t xml:space="preserve">i</m:t>
                    </m:r>
                  </m:sub>
                </m:sSub>
              </m:oMath>
            </m:oMathPara>
          </w:p>
        </w:tc>
        <w:tc>
          <w:tcPr>
            <w:tcW w:w="3179" w:type="dxa"/>
            <w:tcBorders/>
            <w:shd w:color="auto" w:fill="CCCCCC" w:themeFill="text1" w:themeFillTint="33" w:val="clear"/>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Number of transfers</w:t>
            </w:r>
          </w:p>
        </w:tc>
      </w:tr>
      <w:tr>
        <w:trPr/>
        <w:tc>
          <w:tcPr>
            <w:cnfStyle w:val="001000000000" w:firstRow="0" w:lastRow="0" w:firstColumn="1" w:lastColumn="0" w:oddVBand="0" w:evenVBand="0" w:oddHBand="0" w:evenHBand="0" w:firstRowFirstColumn="0" w:firstRowLastColumn="0" w:lastRowFirstColumn="0" w:lastRowLastColumn="0"/>
            <w:tcW w:w="2231" w:type="dxa"/>
            <w:tcBorders>
              <w:end w:val="nil"/>
            </w:tcBorders>
            <w:shd w:color="auto" w:fill="000000" w:themeFill="text1" w:val="clear"/>
          </w:tcPr>
          <w:p>
            <w:pPr>
              <w:pStyle w:val="Normal"/>
              <w:widowControl/>
              <w:spacing w:lineRule="auto" w:line="278" w:before="80" w:after="160"/>
              <w:rPr>
                <w:lang w:val="en-US"/>
              </w:rPr>
            </w:pPr>
            <w:r>
              <w:rPr>
                <w:b/>
                <w:bCs/>
                <w:color w:themeColor="background1" w:val="FFFFFF"/>
                <w:kern w:val="2"/>
                <w:lang w:val="en-US" w:eastAsia="en-US" w:bidi="ar-SA"/>
              </w:rPr>
              <w:t>Reliability</w:t>
            </w:r>
          </w:p>
        </w:tc>
        <w:tc>
          <w:tcPr>
            <w:tcW w:w="1528" w:type="dxa"/>
            <w:tcBorders/>
            <w:shd w:color="auto" w:fill="CCCCCC" w:themeFill="text1" w:themeFillTint="33" w:val="clear"/>
          </w:tcPr>
          <w:p>
            <w:pPr>
              <w:pStyle w:val="Normal"/>
              <w:widowControl/>
              <w:spacing w:lineRule="auto" w:line="278" w:before="80" w:after="160"/>
              <w:jc w:val="center"/>
              <w:cnfStyle w:val="000000000000" w:firstRow="0" w:lastRow="0" w:firstColumn="0" w:lastColumn="0" w:oddVBand="0" w:evenVBand="0" w:oddHBand="0" w:evenHBand="0" w:firstRowFirstColumn="0" w:firstRowLastColumn="0" w:lastRowFirstColumn="0" w:lastRowLastColumn="0"/>
              <w:rPr>
                <w:lang w:val="en-US"/>
              </w:rPr>
            </w:pPr>
            <w:r>
              <w:rPr>
                <w:kern w:val="2"/>
                <w:lang w:eastAsia="en-US" w:bidi="ar-SA"/>
              </w:rPr>
            </w:r>
            <m:oMathPara xmlns:m="http://schemas.openxmlformats.org/officeDocument/2006/math">
              <m:oMathParaPr>
                <m:jc m:val="center"/>
              </m:oMathParaPr>
              <m:oMath>
                <m:sSub>
                  <m:e>
                    <m:r>
                      <m:t xml:space="preserve">l</m:t>
                    </m:r>
                  </m:e>
                  <m:sub>
                    <m:r>
                      <m:t xml:space="preserve">i</m:t>
                    </m:r>
                  </m:sub>
                </m:sSub>
              </m:oMath>
            </m:oMathPara>
          </w:p>
        </w:tc>
        <w:tc>
          <w:tcPr>
            <w:tcW w:w="3179" w:type="dxa"/>
            <w:tcBorders/>
            <w:shd w:color="auto" w:fill="CCCCCC" w:themeFill="text1" w:themeFillTint="33" w:val="clear"/>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Number of legs in the itinerary</w:t>
            </w:r>
          </w:p>
        </w:tc>
      </w:tr>
      <w:tr>
        <w:trPr/>
        <w:tc>
          <w:tcPr>
            <w:cnfStyle w:val="001000000000" w:firstRow="0" w:lastRow="0" w:firstColumn="1" w:lastColumn="0" w:oddVBand="0" w:evenVBand="0" w:oddHBand="0" w:evenHBand="0" w:firstRowFirstColumn="0" w:firstRowLastColumn="0" w:lastRowFirstColumn="0" w:lastRowLastColumn="0"/>
            <w:tcW w:w="2231" w:type="dxa"/>
            <w:tcBorders>
              <w:end w:val="nil"/>
            </w:tcBorders>
            <w:shd w:color="auto" w:fill="000000" w:themeFill="text1" w:val="clear"/>
          </w:tcPr>
          <w:p>
            <w:pPr>
              <w:pStyle w:val="Normal"/>
              <w:widowControl/>
              <w:spacing w:lineRule="auto" w:line="278" w:before="80" w:after="160"/>
              <w:rPr>
                <w:lang w:val="en-US"/>
              </w:rPr>
            </w:pPr>
            <w:r>
              <w:rPr>
                <w:b/>
                <w:bCs/>
                <w:color w:themeColor="background1" w:val="FFFFFF"/>
                <w:kern w:val="2"/>
                <w:lang w:val="en-US" w:eastAsia="en-US" w:bidi="ar-SA"/>
              </w:rPr>
              <w:t>Environment</w:t>
            </w:r>
          </w:p>
        </w:tc>
        <w:tc>
          <w:tcPr>
            <w:tcW w:w="1528" w:type="dxa"/>
            <w:tcBorders/>
            <w:shd w:color="auto" w:fill="CCCCCC" w:themeFill="text1" w:themeFillTint="33" w:val="clear"/>
          </w:tcPr>
          <w:p>
            <w:pPr>
              <w:pStyle w:val="Normal"/>
              <w:widowControl/>
              <w:spacing w:lineRule="auto" w:line="278" w:before="80" w:after="160"/>
              <w:jc w:val="center"/>
              <w:cnfStyle w:val="000000000000" w:firstRow="0" w:lastRow="0" w:firstColumn="0" w:lastColumn="0" w:oddVBand="0" w:evenVBand="0" w:oddHBand="0" w:evenHBand="0" w:firstRowFirstColumn="0" w:firstRowLastColumn="0" w:lastRowFirstColumn="0" w:lastRowLastColumn="0"/>
              <w:rPr>
                <w:lang w:val="en-US"/>
              </w:rPr>
            </w:pPr>
            <w:r>
              <w:rPr>
                <w:kern w:val="2"/>
                <w:lang w:eastAsia="en-US" w:bidi="ar-SA"/>
              </w:rPr>
            </w:r>
            <m:oMathPara xmlns:m="http://schemas.openxmlformats.org/officeDocument/2006/math">
              <m:oMathParaPr>
                <m:jc m:val="center"/>
              </m:oMathParaPr>
              <m:oMath>
                <m:sSub>
                  <m:e>
                    <m:r>
                      <m:t xml:space="preserve">e</m:t>
                    </m:r>
                  </m:e>
                  <m:sub>
                    <m:r>
                      <m:t xml:space="preserve">i</m:t>
                    </m:r>
                  </m:sub>
                </m:sSub>
              </m:oMath>
            </m:oMathPara>
          </w:p>
        </w:tc>
        <w:tc>
          <w:tcPr>
            <w:tcW w:w="3179" w:type="dxa"/>
            <w:tcBorders/>
            <w:shd w:color="auto" w:fill="CCCCCC" w:themeFill="text1" w:themeFillTint="33" w:val="clear"/>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CO₂ emissions</w:t>
            </w:r>
          </w:p>
        </w:tc>
      </w:tr>
      <w:tr>
        <w:trPr/>
        <w:tc>
          <w:tcPr>
            <w:cnfStyle w:val="001000000000" w:firstRow="0" w:lastRow="0" w:firstColumn="1" w:lastColumn="0" w:oddVBand="0" w:evenVBand="0" w:oddHBand="0" w:evenHBand="0" w:firstRowFirstColumn="0" w:firstRowLastColumn="0" w:lastRowFirstColumn="0" w:lastRowLastColumn="0"/>
            <w:tcW w:w="2231" w:type="dxa"/>
            <w:tcBorders>
              <w:end w:val="nil"/>
            </w:tcBorders>
            <w:shd w:color="auto" w:fill="000000" w:themeFill="text1" w:val="clear"/>
          </w:tcPr>
          <w:p>
            <w:pPr>
              <w:pStyle w:val="Normal"/>
              <w:widowControl/>
              <w:spacing w:lineRule="auto" w:line="278" w:before="80" w:after="160"/>
              <w:rPr>
                <w:lang w:val="en-US"/>
              </w:rPr>
            </w:pPr>
            <w:r>
              <w:rPr>
                <w:b/>
                <w:bCs/>
                <w:color w:themeColor="background1" w:val="FFFFFF"/>
                <w:kern w:val="2"/>
                <w:lang w:val="en-US" w:eastAsia="en-US" w:bidi="ar-SA"/>
              </w:rPr>
              <w:t>Health</w:t>
            </w:r>
          </w:p>
        </w:tc>
        <w:tc>
          <w:tcPr>
            <w:tcW w:w="1528" w:type="dxa"/>
            <w:tcBorders/>
            <w:shd w:color="auto" w:fill="CCCCCC" w:themeFill="text1" w:themeFillTint="33" w:val="clear"/>
          </w:tcPr>
          <w:p>
            <w:pPr>
              <w:pStyle w:val="Normal"/>
              <w:widowControl/>
              <w:spacing w:lineRule="auto" w:line="278" w:before="80" w:after="160"/>
              <w:jc w:val="center"/>
              <w:cnfStyle w:val="000000000000" w:firstRow="0" w:lastRow="0" w:firstColumn="0" w:lastColumn="0" w:oddVBand="0" w:evenVBand="0" w:oddHBand="0" w:evenHBand="0" w:firstRowFirstColumn="0" w:firstRowLastColumn="0" w:lastRowFirstColumn="0" w:lastRowLastColumn="0"/>
              <w:rPr>
                <w:lang w:val="en-US"/>
              </w:rPr>
            </w:pPr>
            <w:r>
              <w:rPr>
                <w:kern w:val="2"/>
                <w:lang w:eastAsia="en-US" w:bidi="ar-SA"/>
              </w:rPr>
            </w:r>
            <m:oMathPara xmlns:m="http://schemas.openxmlformats.org/officeDocument/2006/math">
              <m:oMathParaPr>
                <m:jc m:val="center"/>
              </m:oMathParaPr>
              <m:oMath>
                <m:sSub>
                  <m:e>
                    <m:r>
                      <m:t xml:space="preserve">h</m:t>
                    </m:r>
                  </m:e>
                  <m:sub>
                    <m:r>
                      <m:t xml:space="preserve">i</m:t>
                    </m:r>
                  </m:sub>
                </m:sSub>
              </m:oMath>
            </m:oMathPara>
          </w:p>
        </w:tc>
        <w:tc>
          <w:tcPr>
            <w:tcW w:w="3179" w:type="dxa"/>
            <w:tcBorders/>
            <w:shd w:color="auto" w:fill="CCCCCC" w:themeFill="text1" w:themeFillTint="33" w:val="clear"/>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Calories burned</w:t>
            </w:r>
          </w:p>
        </w:tc>
      </w:tr>
    </w:tbl>
    <w:p>
      <w:pPr>
        <w:pStyle w:val="Normal"/>
        <w:rPr>
          <w:lang w:val="en-US"/>
        </w:rPr>
      </w:pPr>
      <w:r>
        <w:rPr>
          <w:lang w:val="en-US"/>
        </w:rPr>
      </w:r>
    </w:p>
    <w:p>
      <w:pPr>
        <w:pStyle w:val="Normal"/>
        <w:spacing w:before="80" w:after="160"/>
        <w:rPr>
          <w:lang w:val="en-US"/>
        </w:rPr>
      </w:pPr>
      <w:r>
        <w:rPr>
          <w:lang w:val="en-US"/>
        </w:rPr>
        <w:t>These proxies allow the system to approximate user preferences using available data from the trip planner. When a proxy has identical values across all alternatives, it does not influence the ranking because normalization removes its effect.</w:t>
      </w:r>
    </w:p>
    <w:p>
      <w:pPr>
        <w:pStyle w:val="Normal"/>
        <w:spacing w:before="0" w:after="160"/>
        <w:rPr>
          <w:lang w:val="en-US"/>
        </w:rPr>
      </w:pPr>
      <w:r>
        <w:rPr>
          <w:lang w:val="en-US"/>
        </w:rPr>
        <w:t xml:space="preserve">The different attributes used in the ranking have different units and scales. Travel time is measured in minutes, cost in euros, and emissions in grams of CO₂. To combine them into a single score, the system applies min max normalization within the candidate set </w:t>
      </w:r>
      <w:r>
        <w:rPr/>
      </w:r>
      <m:oMath xmlns:m="http://schemas.openxmlformats.org/officeDocument/2006/math">
        <m:sSup>
          <m:e>
            <m:r>
              <m:t xml:space="preserve">I</m:t>
            </m:r>
          </m:e>
          <m:sup>
            <m:d>
              <m:dPr>
                <m:begChr m:val="("/>
                <m:endChr m:val=")"/>
              </m:dPr>
              <m:e>
                <m:r>
                  <m:t xml:space="preserve">K</m:t>
                </m:r>
              </m:e>
            </m:d>
          </m:sup>
        </m:sSup>
      </m:oMath>
      <w:r>
        <w:rPr>
          <w:lang w:val="en-US"/>
        </w:rPr>
        <w:t>.</w:t>
      </w:r>
    </w:p>
    <w:p>
      <w:pPr>
        <w:pStyle w:val="Normal"/>
        <w:spacing w:before="0" w:after="160"/>
        <w:rPr>
          <w:lang w:val="en-US"/>
        </w:rPr>
      </w:pPr>
      <w:r>
        <w:rPr>
          <w:lang w:val="en-US"/>
        </w:rPr>
        <w:t>For attributes where lower values are preferred, such as travel time or cost, the normalized value is defined as:</w:t>
      </w:r>
    </w:p>
    <w:p>
      <w:pPr>
        <w:pStyle w:val="Normal"/>
        <w:spacing w:before="80" w:after="160"/>
        <w:jc w:val="center"/>
        <w:rPr>
          <w:lang w:val="el-GR"/>
        </w:rPr>
      </w:pPr>
      <w:r>
        <w:rPr/>
      </w:r>
      <m:oMathPara xmlns:m="http://schemas.openxmlformats.org/officeDocument/2006/math">
        <m:oMathParaPr>
          <m:jc m:val="center"/>
        </m:oMathParaPr>
        <m:oMath>
          <m:sSub>
            <m:e>
              <m:acc>
                <m:accPr>
                  <m:chr m:val="^"/>
                </m:accPr>
                <m:e>
                  <m:r>
                    <m:t xml:space="preserve">x</m:t>
                  </m:r>
                </m:e>
              </m:acc>
            </m:e>
            <m:sub>
              <m:r>
                <m:t xml:space="preserve">i</m:t>
              </m:r>
              <m:r>
                <m:t xml:space="preserve">,</m:t>
              </m:r>
              <m:r>
                <m:t xml:space="preserve">m</m:t>
              </m:r>
            </m:sub>
          </m:sSub>
          <m:r>
            <m:rPr>
              <m:lit/>
              <m:nor/>
            </m:rPr>
            <m:t xml:space="preserve">=</m:t>
          </m:r>
          <m:f>
            <m:num>
              <m:sSub>
                <m:e>
                  <m:r>
                    <m:t xml:space="preserve">x</m:t>
                  </m:r>
                </m:e>
                <m:sub>
                  <m:r>
                    <m:t xml:space="preserve">i</m:t>
                  </m:r>
                  <m:r>
                    <m:t xml:space="preserve">,</m:t>
                  </m:r>
                  <m:r>
                    <m:t xml:space="preserve">m</m:t>
                  </m:r>
                </m:sub>
              </m:sSub>
              <m:r>
                <m:rPr>
                  <m:lit/>
                  <m:nor/>
                </m:rPr>
                <m:t xml:space="preserve">-</m:t>
              </m:r>
              <m:r>
                <m:t xml:space="preserve">min</m:t>
              </m:r>
              <m:limLow>
                <m:e>
                  <m:r>
                    <m:t xml:space="preserve">⁡</m:t>
                  </m:r>
                </m:e>
                <m:lim>
                  <m:r>
                    <m:t xml:space="preserve">k</m:t>
                  </m:r>
                  <m:r>
                    <m:t xml:space="preserve">∈</m:t>
                  </m:r>
                  <m:sSup>
                    <m:e>
                      <m:r>
                        <m:t xml:space="preserve">I</m:t>
                      </m:r>
                    </m:e>
                    <m:sup>
                      <m:d>
                        <m:dPr>
                          <m:begChr m:val="("/>
                          <m:endChr m:val=")"/>
                        </m:dPr>
                        <m:e>
                          <m:r>
                            <m:t xml:space="preserve">K</m:t>
                          </m:r>
                        </m:e>
                      </m:d>
                    </m:sup>
                  </m:sSup>
                </m:lim>
              </m:limLow>
              <m:sSub>
                <m:e>
                  <m:r>
                    <m:t xml:space="preserve">x</m:t>
                  </m:r>
                </m:e>
                <m:sub>
                  <m:r>
                    <m:t xml:space="preserve">k</m:t>
                  </m:r>
                  <m:r>
                    <m:t xml:space="preserve">,</m:t>
                  </m:r>
                  <m:r>
                    <m:t xml:space="preserve">m</m:t>
                  </m:r>
                </m:sub>
              </m:sSub>
            </m:num>
            <m:den>
              <m:r>
                <m:t xml:space="preserve">max</m:t>
              </m:r>
              <m:limLow>
                <m:e>
                  <m:r>
                    <m:t xml:space="preserve">⁡</m:t>
                  </m:r>
                </m:e>
                <m:lim>
                  <m:r>
                    <m:t xml:space="preserve">k</m:t>
                  </m:r>
                  <m:r>
                    <m:t xml:space="preserve">∈</m:t>
                  </m:r>
                  <m:sSup>
                    <m:e>
                      <m:r>
                        <m:t xml:space="preserve">I</m:t>
                      </m:r>
                    </m:e>
                    <m:sup>
                      <m:d>
                        <m:dPr>
                          <m:begChr m:val="("/>
                          <m:endChr m:val=")"/>
                        </m:dPr>
                        <m:e>
                          <m:r>
                            <m:t xml:space="preserve">K</m:t>
                          </m:r>
                        </m:e>
                      </m:d>
                    </m:sup>
                  </m:sSup>
                </m:lim>
              </m:limLow>
              <m:sSub>
                <m:e>
                  <m:r>
                    <m:t xml:space="preserve">x</m:t>
                  </m:r>
                </m:e>
                <m:sub>
                  <m:r>
                    <m:t xml:space="preserve">k</m:t>
                  </m:r>
                  <m:r>
                    <m:t xml:space="preserve">,</m:t>
                  </m:r>
                  <m:r>
                    <m:t xml:space="preserve">m</m:t>
                  </m:r>
                </m:sub>
              </m:sSub>
              <m:r>
                <m:rPr>
                  <m:lit/>
                  <m:nor/>
                </m:rPr>
                <m:t xml:space="preserve">-</m:t>
              </m:r>
              <m:r>
                <m:t xml:space="preserve">min</m:t>
              </m:r>
              <m:limLow>
                <m:e>
                  <m:r>
                    <m:t xml:space="preserve">⁡</m:t>
                  </m:r>
                </m:e>
                <m:lim>
                  <m:r>
                    <m:t xml:space="preserve">k</m:t>
                  </m:r>
                  <m:r>
                    <m:t xml:space="preserve">∈</m:t>
                  </m:r>
                  <m:sSup>
                    <m:e>
                      <m:r>
                        <m:t xml:space="preserve">I</m:t>
                      </m:r>
                    </m:e>
                    <m:sup>
                      <m:d>
                        <m:dPr>
                          <m:begChr m:val="("/>
                          <m:endChr m:val=")"/>
                        </m:dPr>
                        <m:e>
                          <m:r>
                            <m:t xml:space="preserve">K</m:t>
                          </m:r>
                        </m:e>
                      </m:d>
                    </m:sup>
                  </m:sSup>
                </m:lim>
              </m:limLow>
              <m:sSub>
                <m:e>
                  <m:r>
                    <m:t xml:space="preserve">x</m:t>
                  </m:r>
                </m:e>
                <m:sub>
                  <m:r>
                    <m:t xml:space="preserve">k</m:t>
                  </m:r>
                  <m:r>
                    <m:t xml:space="preserve">,</m:t>
                  </m:r>
                  <m:r>
                    <m:t xml:space="preserve">m</m:t>
                  </m:r>
                </m:sub>
              </m:sSub>
              <m:r>
                <m:rPr>
                  <m:lit/>
                  <m:nor/>
                </m:rPr>
                <m:t xml:space="preserve">+</m:t>
              </m:r>
              <m:r>
                <m:t xml:space="preserve">ϵ</m:t>
              </m:r>
            </m:den>
          </m:f>
        </m:oMath>
      </m:oMathPara>
    </w:p>
    <w:p>
      <w:pPr>
        <w:pStyle w:val="Normal"/>
        <w:spacing w:before="0" w:after="160"/>
        <w:rPr>
          <w:lang w:val="en-US"/>
        </w:rPr>
      </w:pPr>
      <w:r>
        <w:rPr>
          <w:lang w:val="en-US"/>
        </w:rPr>
        <w:t xml:space="preserve">The parameter </w:t>
      </w:r>
      <w:r>
        <w:rPr/>
      </w:r>
      <m:oMath xmlns:m="http://schemas.openxmlformats.org/officeDocument/2006/math">
        <m:r>
          <m:t xml:space="preserve">ϵ</m:t>
        </m:r>
        <m:r>
          <m:rPr>
            <m:lit/>
            <m:nor/>
          </m:rPr>
          <m:t xml:space="preserve"> </m:t>
        </m:r>
      </m:oMath>
      <w:r>
        <w:rPr>
          <w:lang w:val="en-US"/>
        </w:rPr>
        <w:t>is a small constant used to avoid division by zero.</w:t>
      </w:r>
    </w:p>
    <w:p>
      <w:pPr>
        <w:pStyle w:val="Normal"/>
        <w:spacing w:before="0" w:after="160"/>
        <w:rPr>
          <w:lang w:val="en-US"/>
        </w:rPr>
      </w:pPr>
      <w:r>
        <w:rPr>
          <w:lang w:val="en-US"/>
        </w:rPr>
        <w:t>Health is treated differently because higher calorie expenditure indicates greater physical activity. To integrate it into the scoring framework, the system converts it into a disutility measure:</w:t>
      </w:r>
    </w:p>
    <w:p>
      <w:pPr>
        <w:pStyle w:val="Normal"/>
        <w:spacing w:before="80" w:after="160"/>
        <w:jc w:val="center"/>
        <w:rPr>
          <w:lang w:val="en-US"/>
        </w:rPr>
      </w:pPr>
      <w:r>
        <w:rPr/>
      </w:r>
      <m:oMathPara xmlns:m="http://schemas.openxmlformats.org/officeDocument/2006/math">
        <m:oMathParaPr>
          <m:jc m:val="center"/>
        </m:oMathParaPr>
        <m:oMath>
          <m:sSub>
            <m:e>
              <m:acc>
                <m:accPr>
                  <m:chr m:val="^"/>
                </m:accPr>
                <m:e>
                  <m:r>
                    <m:t xml:space="preserve">x</m:t>
                  </m:r>
                </m:e>
              </m:acc>
            </m:e>
            <m:sub>
              <m:r>
                <m:t xml:space="preserve">i</m:t>
              </m:r>
              <m:r>
                <m:t xml:space="preserve">,</m:t>
              </m:r>
              <m:r>
                <m:rPr>
                  <m:lit/>
                  <m:nor/>
                </m:rPr>
                <m:t xml:space="preserve">health</m:t>
              </m:r>
            </m:sub>
          </m:sSub>
          <m:r>
            <m:rPr>
              <m:lit/>
              <m:nor/>
            </m:rPr>
            <m:t xml:space="preserve">=</m:t>
          </m:r>
          <m:r>
            <m:t xml:space="preserve">1</m:t>
          </m:r>
          <m:r>
            <m:rPr>
              <m:lit/>
              <m:nor/>
            </m:rPr>
            <m:t xml:space="preserve">-</m:t>
          </m:r>
          <m:f>
            <m:num>
              <m:sSub>
                <m:e>
                  <m:r>
                    <m:t xml:space="preserve">h</m:t>
                  </m:r>
                </m:e>
                <m:sub>
                  <m:r>
                    <m:t xml:space="preserve">i</m:t>
                  </m:r>
                </m:sub>
              </m:sSub>
              <m:r>
                <m:rPr>
                  <m:lit/>
                  <m:nor/>
                </m:rPr>
                <m:t xml:space="preserve">-</m:t>
              </m:r>
              <m:r>
                <m:t xml:space="preserve">min</m:t>
              </m:r>
              <m:limLow>
                <m:e>
                  <m:r>
                    <m:t xml:space="preserve">⁡</m:t>
                  </m:r>
                </m:e>
                <m:lim>
                  <m:r>
                    <m:t xml:space="preserve">k</m:t>
                  </m:r>
                  <m:r>
                    <m:t xml:space="preserve">∈</m:t>
                  </m:r>
                  <m:sSup>
                    <m:e>
                      <m:r>
                        <m:t xml:space="preserve">I</m:t>
                      </m:r>
                    </m:e>
                    <m:sup>
                      <m:d>
                        <m:dPr>
                          <m:begChr m:val="("/>
                          <m:endChr m:val=")"/>
                        </m:dPr>
                        <m:e>
                          <m:r>
                            <m:t xml:space="preserve">K</m:t>
                          </m:r>
                        </m:e>
                      </m:d>
                    </m:sup>
                  </m:sSup>
                </m:lim>
              </m:limLow>
              <m:sSub>
                <m:e>
                  <m:r>
                    <m:t xml:space="preserve">h</m:t>
                  </m:r>
                </m:e>
                <m:sub>
                  <m:r>
                    <m:t xml:space="preserve">k</m:t>
                  </m:r>
                </m:sub>
              </m:sSub>
            </m:num>
            <m:den>
              <m:r>
                <m:t xml:space="preserve">max</m:t>
              </m:r>
              <m:limLow>
                <m:e>
                  <m:r>
                    <m:t xml:space="preserve">⁡</m:t>
                  </m:r>
                </m:e>
                <m:lim>
                  <m:r>
                    <m:t xml:space="preserve">k</m:t>
                  </m:r>
                  <m:r>
                    <m:t xml:space="preserve">∈</m:t>
                  </m:r>
                  <m:sSup>
                    <m:e>
                      <m:r>
                        <m:t xml:space="preserve">I</m:t>
                      </m:r>
                    </m:e>
                    <m:sup>
                      <m:d>
                        <m:dPr>
                          <m:begChr m:val="("/>
                          <m:endChr m:val=")"/>
                        </m:dPr>
                        <m:e>
                          <m:r>
                            <m:t xml:space="preserve">K</m:t>
                          </m:r>
                        </m:e>
                      </m:d>
                    </m:sup>
                  </m:sSup>
                </m:lim>
              </m:limLow>
              <m:sSub>
                <m:e>
                  <m:r>
                    <m:t xml:space="preserve">h</m:t>
                  </m:r>
                </m:e>
                <m:sub>
                  <m:r>
                    <m:t xml:space="preserve">k</m:t>
                  </m:r>
                </m:sub>
              </m:sSub>
              <m:r>
                <m:rPr>
                  <m:lit/>
                  <m:nor/>
                </m:rPr>
                <m:t xml:space="preserve">-</m:t>
              </m:r>
              <m:r>
                <m:t xml:space="preserve">min</m:t>
              </m:r>
              <m:limLow>
                <m:e>
                  <m:r>
                    <m:t xml:space="preserve">⁡</m:t>
                  </m:r>
                </m:e>
                <m:lim>
                  <m:r>
                    <m:t xml:space="preserve">k</m:t>
                  </m:r>
                  <m:r>
                    <m:t xml:space="preserve">∈</m:t>
                  </m:r>
                  <m:sSup>
                    <m:e>
                      <m:r>
                        <m:t xml:space="preserve">I</m:t>
                      </m:r>
                    </m:e>
                    <m:sup>
                      <m:d>
                        <m:dPr>
                          <m:begChr m:val="("/>
                          <m:endChr m:val=")"/>
                        </m:dPr>
                        <m:e>
                          <m:r>
                            <m:t xml:space="preserve">K</m:t>
                          </m:r>
                        </m:e>
                      </m:d>
                    </m:sup>
                  </m:sSup>
                </m:lim>
              </m:limLow>
              <m:sSub>
                <m:e>
                  <m:r>
                    <m:t xml:space="preserve">h</m:t>
                  </m:r>
                </m:e>
                <m:sub>
                  <m:r>
                    <m:t xml:space="preserve">k</m:t>
                  </m:r>
                </m:sub>
              </m:sSub>
              <m:r>
                <m:rPr>
                  <m:lit/>
                  <m:nor/>
                </m:rPr>
                <m:t xml:space="preserve">+</m:t>
              </m:r>
              <m:r>
                <m:t xml:space="preserve">ϵ</m:t>
              </m:r>
            </m:den>
          </m:f>
        </m:oMath>
      </m:oMathPara>
    </w:p>
    <w:p>
      <w:pPr>
        <w:pStyle w:val="Normal"/>
        <w:spacing w:before="0" w:after="160"/>
        <w:rPr>
          <w:lang w:val="en-US"/>
        </w:rPr>
      </w:pPr>
      <w:r>
        <w:rPr>
          <w:lang w:val="en-US"/>
        </w:rPr>
        <w:t xml:space="preserve">After normalization, all attributes lie in the interval </w:t>
      </w:r>
      <w:r>
        <w:rPr/>
      </w:r>
      <m:oMath xmlns:m="http://schemas.openxmlformats.org/officeDocument/2006/math">
        <m:r>
          <m:t xml:space="preserve">[</m:t>
        </m:r>
        <m:r>
          <m:t xml:space="preserve">0,1</m:t>
        </m:r>
        <m:r>
          <m:t xml:space="preserve">]</m:t>
        </m:r>
      </m:oMath>
      <w:r>
        <w:rPr>
          <w:lang w:val="en-US"/>
        </w:rPr>
        <w:t>. A lower value indicates a more favorable outcome. The overall ranking score for each alternative is computed as a weighted average of the normalized attributes:</w:t>
      </w:r>
    </w:p>
    <w:p>
      <w:pPr>
        <w:pStyle w:val="Normal"/>
        <w:spacing w:before="80" w:after="160"/>
        <w:jc w:val="center"/>
        <w:rPr>
          <w:lang w:val="el-GR"/>
        </w:rPr>
      </w:pPr>
      <w:r>
        <w:rPr/>
      </w:r>
      <m:oMathPara xmlns:m="http://schemas.openxmlformats.org/officeDocument/2006/math">
        <m:oMathParaPr>
          <m:jc m:val="center"/>
        </m:oMathParaPr>
        <m:oMath>
          <m:sSub>
            <m:e>
              <m:r>
                <m:t xml:space="preserve">S</m:t>
              </m:r>
            </m:e>
            <m:sub>
              <m:r>
                <m:t xml:space="preserve">i</m:t>
              </m:r>
            </m:sub>
          </m:sSub>
          <m:r>
            <m:rPr>
              <m:lit/>
              <m:nor/>
            </m:rPr>
            <m:t xml:space="preserve">=</m:t>
          </m:r>
          <m:f>
            <m:num>
              <m:nary>
                <m:naryPr>
                  <m:chr m:val="∑"/>
                  <m:supHide m:val="1"/>
                </m:naryPr>
                <m:sub>
                  <m:r>
                    <m:t xml:space="preserve">m</m:t>
                  </m:r>
                  <m:r>
                    <m:t xml:space="preserve">∈</m:t>
                  </m:r>
                  <m:r>
                    <m:t xml:space="preserve">M</m:t>
                  </m:r>
                </m:sub>
                <m:sup/>
                <m:e>
                  <m:sSub>
                    <m:e>
                      <m:r>
                        <m:t xml:space="preserve">w</m:t>
                      </m:r>
                    </m:e>
                    <m:sub>
                      <m:r>
                        <m:t xml:space="preserve">m</m:t>
                      </m:r>
                    </m:sub>
                  </m:sSub>
                </m:e>
              </m:nary>
              <m:sSub>
                <m:e>
                  <m:acc>
                    <m:accPr>
                      <m:chr m:val="^"/>
                    </m:accPr>
                    <m:e>
                      <m:r>
                        <m:t xml:space="preserve">x</m:t>
                      </m:r>
                    </m:e>
                  </m:acc>
                </m:e>
                <m:sub>
                  <m:r>
                    <m:t xml:space="preserve">i</m:t>
                  </m:r>
                  <m:r>
                    <m:t xml:space="preserve">,</m:t>
                  </m:r>
                  <m:r>
                    <m:t xml:space="preserve">m</m:t>
                  </m:r>
                </m:sub>
              </m:sSub>
            </m:num>
            <m:den>
              <m:nary>
                <m:naryPr>
                  <m:chr m:val="∑"/>
                  <m:supHide m:val="1"/>
                </m:naryPr>
                <m:sub>
                  <m:r>
                    <m:t xml:space="preserve">m</m:t>
                  </m:r>
                  <m:r>
                    <m:t xml:space="preserve">∈</m:t>
                  </m:r>
                  <m:r>
                    <m:t xml:space="preserve">M</m:t>
                  </m:r>
                </m:sub>
                <m:sup/>
                <m:e>
                  <m:sSub>
                    <m:e>
                      <m:r>
                        <m:t xml:space="preserve">w</m:t>
                      </m:r>
                    </m:e>
                    <m:sub>
                      <m:r>
                        <m:t xml:space="preserve">m</m:t>
                      </m:r>
                    </m:sub>
                  </m:sSub>
                </m:e>
              </m:nary>
            </m:den>
          </m:f>
        </m:oMath>
      </m:oMathPara>
    </w:p>
    <w:p>
      <w:pPr>
        <w:pStyle w:val="Normal"/>
        <w:spacing w:before="0" w:after="160"/>
        <w:rPr>
          <w:lang w:val="en-US"/>
        </w:rPr>
      </w:pPr>
      <w:r>
        <w:rPr>
          <w:lang w:val="en-US"/>
        </w:rPr>
        <w:t xml:space="preserve">where </w:t>
      </w:r>
      <w:r>
        <w:rPr/>
      </w:r>
      <m:oMath xmlns:m="http://schemas.openxmlformats.org/officeDocument/2006/math">
        <m:sSub>
          <m:e>
            <m:r>
              <m:t xml:space="preserve">w</m:t>
            </m:r>
          </m:e>
          <m:sub>
            <m:r>
              <m:t xml:space="preserve">m</m:t>
            </m:r>
            <m:r>
              <m:rPr>
                <m:lit/>
                <m:nor/>
              </m:rPr>
              <m:t xml:space="preserve"> </m:t>
            </m:r>
          </m:sub>
        </m:sSub>
      </m:oMath>
      <w:r>
        <w:rPr>
          <w:lang w:val="en-US"/>
        </w:rPr>
        <w:t xml:space="preserve">represents the user importance weight for dimension </w:t>
      </w:r>
      <w:r>
        <w:rPr/>
      </w:r>
      <m:oMath xmlns:m="http://schemas.openxmlformats.org/officeDocument/2006/math">
        <m:r>
          <m:t xml:space="preserve">m</m:t>
        </m:r>
      </m:oMath>
      <w:r>
        <w:rPr>
          <w:lang w:val="en-US"/>
        </w:rPr>
        <w:t>. The alternative with the lowest score is considered the most consistent with the user's stated preferences. The table below illustrates the normalized attributes for the three fastest alternatives.</w:t>
      </w:r>
    </w:p>
    <w:tbl>
      <w:tblPr>
        <w:tblStyle w:val="PlainTable2"/>
        <w:tblW w:w="583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726"/>
        <w:gridCol w:w="828"/>
        <w:gridCol w:w="669"/>
        <w:gridCol w:w="614"/>
        <w:gridCol w:w="953"/>
        <w:gridCol w:w="611"/>
        <w:gridCol w:w="608"/>
        <w:gridCol w:w="823"/>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tcBorders/>
          </w:tcPr>
          <w:p>
            <w:pPr>
              <w:pStyle w:val="Normal"/>
              <w:widowControl/>
              <w:spacing w:lineRule="auto" w:line="278" w:before="80" w:after="160"/>
              <w:jc w:val="start"/>
              <w:rPr>
                <w:lang w:val="en-US"/>
              </w:rPr>
            </w:pPr>
            <w:r>
              <w:rPr>
                <w:b/>
                <w:bCs/>
                <w:kern w:val="2"/>
                <w:lang w:val="en-US" w:eastAsia="en-US" w:bidi="ar-SA"/>
              </w:rPr>
              <w:t>Trip</w:t>
            </w:r>
          </w:p>
        </w:tc>
        <w:tc>
          <w:tcPr>
            <w:tcW w:w="828" w:type="dxa"/>
            <w:tcBorders/>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lang w:val="en-US"/>
              </w:rPr>
            </w:pPr>
            <w:r>
              <w:rPr>
                <w:b/>
                <w:bCs/>
                <w:kern w:val="2"/>
                <w:lang w:val="en-US" w:eastAsia="en-US" w:bidi="ar-SA"/>
              </w:rPr>
              <w:t>Mode</w:t>
            </w:r>
          </w:p>
        </w:tc>
        <w:tc>
          <w:tcPr>
            <w:tcW w:w="669" w:type="dxa"/>
            <w:tcBorders/>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lang w:val="en-US"/>
              </w:rPr>
            </w:pPr>
            <w:r>
              <w:rPr>
                <w:b/>
                <w:bCs/>
                <w:kern w:val="2"/>
                <w:lang w:val="en-US" w:eastAsia="en-US" w:bidi="ar-SA"/>
              </w:rPr>
              <w:t>Time</w:t>
            </w:r>
          </w:p>
        </w:tc>
        <w:tc>
          <w:tcPr>
            <w:tcW w:w="614" w:type="dxa"/>
            <w:tcBorders/>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lang w:val="en-US"/>
              </w:rPr>
            </w:pPr>
            <w:r>
              <w:rPr>
                <w:b/>
                <w:bCs/>
                <w:kern w:val="2"/>
                <w:lang w:val="en-US" w:eastAsia="en-US" w:bidi="ar-SA"/>
              </w:rPr>
              <w:t>Cost</w:t>
            </w:r>
          </w:p>
        </w:tc>
        <w:tc>
          <w:tcPr>
            <w:tcW w:w="953" w:type="dxa"/>
            <w:tcBorders/>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lang w:val="en-US"/>
              </w:rPr>
            </w:pPr>
            <w:r>
              <w:rPr>
                <w:b/>
                <w:bCs/>
                <w:kern w:val="2"/>
                <w:lang w:val="en-US" w:eastAsia="en-US" w:bidi="ar-SA"/>
              </w:rPr>
              <w:t>Walking</w:t>
            </w:r>
          </w:p>
        </w:tc>
        <w:tc>
          <w:tcPr>
            <w:tcW w:w="611" w:type="dxa"/>
            <w:tcBorders/>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lang w:val="en-US"/>
              </w:rPr>
            </w:pPr>
            <w:r>
              <w:rPr>
                <w:b/>
                <w:bCs/>
                <w:kern w:val="2"/>
                <w:lang w:val="en-US" w:eastAsia="en-US" w:bidi="ar-SA"/>
              </w:rPr>
              <w:t>Legs</w:t>
            </w:r>
          </w:p>
        </w:tc>
        <w:tc>
          <w:tcPr>
            <w:tcW w:w="608" w:type="dxa"/>
            <w:tcBorders/>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lang w:val="en-US"/>
              </w:rPr>
            </w:pPr>
            <w:r>
              <w:rPr>
                <w:b/>
                <w:bCs/>
                <w:kern w:val="2"/>
                <w:lang w:val="en-US" w:eastAsia="en-US" w:bidi="ar-SA"/>
              </w:rPr>
              <w:t>CO₂</w:t>
            </w:r>
          </w:p>
        </w:tc>
        <w:tc>
          <w:tcPr>
            <w:tcW w:w="823" w:type="dxa"/>
            <w:tcBorders/>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lang w:val="en-US"/>
              </w:rPr>
            </w:pPr>
            <w:r>
              <w:rPr>
                <w:b/>
                <w:bCs/>
                <w:kern w:val="2"/>
                <w:lang w:val="en-US" w:eastAsia="en-US" w:bidi="ar-SA"/>
              </w:rPr>
              <w:t>Health</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tcBorders/>
          </w:tcPr>
          <w:p>
            <w:pPr>
              <w:pStyle w:val="Normal"/>
              <w:widowControl/>
              <w:spacing w:lineRule="auto" w:line="278" w:before="80" w:after="160"/>
              <w:rPr>
                <w:lang w:val="en-US"/>
              </w:rPr>
            </w:pPr>
            <w:r>
              <w:rPr>
                <w:b/>
                <w:bCs/>
                <w:kern w:val="2"/>
                <w:lang w:val="en-US" w:eastAsia="en-US" w:bidi="ar-SA"/>
              </w:rPr>
              <w:t>Trip 0</w:t>
            </w:r>
          </w:p>
        </w:tc>
        <w:tc>
          <w:tcPr>
            <w:tcW w:w="828"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Car</w:t>
            </w:r>
          </w:p>
        </w:tc>
        <w:tc>
          <w:tcPr>
            <w:tcW w:w="669"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0.00</w:t>
            </w:r>
          </w:p>
        </w:tc>
        <w:tc>
          <w:tcPr>
            <w:tcW w:w="614"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1.00</w:t>
            </w:r>
          </w:p>
        </w:tc>
        <w:tc>
          <w:tcPr>
            <w:tcW w:w="953"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0.00</w:t>
            </w:r>
          </w:p>
        </w:tc>
        <w:tc>
          <w:tcPr>
            <w:tcW w:w="611"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0.00</w:t>
            </w:r>
          </w:p>
        </w:tc>
        <w:tc>
          <w:tcPr>
            <w:tcW w:w="608"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1.00</w:t>
            </w:r>
          </w:p>
        </w:tc>
        <w:tc>
          <w:tcPr>
            <w:tcW w:w="823"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1.00</w:t>
            </w:r>
          </w:p>
        </w:tc>
      </w:tr>
      <w:tr>
        <w:trPr/>
        <w:tc>
          <w:tcPr>
            <w:cnfStyle w:val="001000000000" w:firstRow="0" w:lastRow="0" w:firstColumn="1" w:lastColumn="0" w:oddVBand="0" w:evenVBand="0" w:oddHBand="0" w:evenHBand="0" w:firstRowFirstColumn="0" w:firstRowLastColumn="0" w:lastRowFirstColumn="0" w:lastRowLastColumn="0"/>
            <w:tcW w:w="726" w:type="dxa"/>
            <w:tcBorders>
              <w:top w:val="nil"/>
              <w:bottom w:val="nil"/>
            </w:tcBorders>
          </w:tcPr>
          <w:p>
            <w:pPr>
              <w:pStyle w:val="Normal"/>
              <w:widowControl/>
              <w:spacing w:lineRule="auto" w:line="278" w:before="80" w:after="160"/>
              <w:rPr>
                <w:lang w:val="en-US"/>
              </w:rPr>
            </w:pPr>
            <w:r>
              <w:rPr>
                <w:b/>
                <w:bCs/>
                <w:kern w:val="2"/>
                <w:lang w:val="en-US" w:eastAsia="en-US" w:bidi="ar-SA"/>
              </w:rPr>
              <w:t>Trip 1</w:t>
            </w:r>
          </w:p>
        </w:tc>
        <w:tc>
          <w:tcPr>
            <w:tcW w:w="828" w:type="dxa"/>
            <w:tcBorders>
              <w:top w:val="nil"/>
              <w:bottom w:val="nil"/>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Bus</w:t>
            </w:r>
          </w:p>
        </w:tc>
        <w:tc>
          <w:tcPr>
            <w:tcW w:w="669" w:type="dxa"/>
            <w:tcBorders>
              <w:top w:val="nil"/>
              <w:bottom w:val="nil"/>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0.67</w:t>
            </w:r>
          </w:p>
        </w:tc>
        <w:tc>
          <w:tcPr>
            <w:tcW w:w="614" w:type="dxa"/>
            <w:tcBorders>
              <w:top w:val="nil"/>
              <w:bottom w:val="nil"/>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0.81</w:t>
            </w:r>
          </w:p>
        </w:tc>
        <w:tc>
          <w:tcPr>
            <w:tcW w:w="953" w:type="dxa"/>
            <w:tcBorders>
              <w:top w:val="nil"/>
              <w:bottom w:val="nil"/>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1.00</w:t>
            </w:r>
          </w:p>
        </w:tc>
        <w:tc>
          <w:tcPr>
            <w:tcW w:w="611" w:type="dxa"/>
            <w:tcBorders>
              <w:top w:val="nil"/>
              <w:bottom w:val="nil"/>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1.00</w:t>
            </w:r>
          </w:p>
        </w:tc>
        <w:tc>
          <w:tcPr>
            <w:tcW w:w="608" w:type="dxa"/>
            <w:tcBorders>
              <w:top w:val="nil"/>
              <w:bottom w:val="nil"/>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0.29</w:t>
            </w:r>
          </w:p>
        </w:tc>
        <w:tc>
          <w:tcPr>
            <w:tcW w:w="823" w:type="dxa"/>
            <w:tcBorders>
              <w:top w:val="nil"/>
              <w:bottom w:val="nil"/>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0.08</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tcBorders/>
          </w:tcPr>
          <w:p>
            <w:pPr>
              <w:pStyle w:val="Normal"/>
              <w:widowControl/>
              <w:spacing w:lineRule="auto" w:line="278" w:before="80" w:after="160"/>
              <w:rPr>
                <w:lang w:val="en-US"/>
              </w:rPr>
            </w:pPr>
            <w:r>
              <w:rPr>
                <w:b/>
                <w:bCs/>
                <w:kern w:val="2"/>
                <w:lang w:val="en-US" w:eastAsia="en-US" w:bidi="ar-SA"/>
              </w:rPr>
              <w:t>Trip 3</w:t>
            </w:r>
          </w:p>
        </w:tc>
        <w:tc>
          <w:tcPr>
            <w:tcW w:w="828"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Bicycle</w:t>
            </w:r>
          </w:p>
        </w:tc>
        <w:tc>
          <w:tcPr>
            <w:tcW w:w="669"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1.00</w:t>
            </w:r>
          </w:p>
        </w:tc>
        <w:tc>
          <w:tcPr>
            <w:tcW w:w="614"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0.00</w:t>
            </w:r>
          </w:p>
        </w:tc>
        <w:tc>
          <w:tcPr>
            <w:tcW w:w="953"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0.00</w:t>
            </w:r>
          </w:p>
        </w:tc>
        <w:tc>
          <w:tcPr>
            <w:tcW w:w="611"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0.00</w:t>
            </w:r>
          </w:p>
        </w:tc>
        <w:tc>
          <w:tcPr>
            <w:tcW w:w="608"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0.00</w:t>
            </w:r>
          </w:p>
        </w:tc>
        <w:tc>
          <w:tcPr>
            <w:tcW w:w="823"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0.00</w:t>
            </w:r>
          </w:p>
        </w:tc>
      </w:tr>
    </w:tbl>
    <w:p>
      <w:pPr>
        <w:pStyle w:val="Normal"/>
        <w:spacing w:before="0" w:after="160"/>
        <w:rPr>
          <w:lang w:val="en-US"/>
        </w:rPr>
      </w:pPr>
      <w:r>
        <w:rPr>
          <w:lang w:val="en-US"/>
        </w:rPr>
      </w:r>
    </w:p>
    <w:p>
      <w:pPr>
        <w:pStyle w:val="Normal"/>
        <w:spacing w:before="0" w:after="160"/>
        <w:rPr>
          <w:lang w:val="en-US"/>
        </w:rPr>
      </w:pPr>
      <w:r>
        <w:rPr>
          <w:lang w:val="en-US"/>
        </w:rPr>
        <w:t>In this example, the car option performs best in travel time but performs poorly in environmental impact. The bicycle option has the lowest environmental and health disutility but requires a longer travel time. The final ranking reflects the balance between these competing criteria according to the user preference weights.</w:t>
      </w:r>
    </w:p>
    <w:p>
      <w:pPr>
        <w:pStyle w:val="Normal"/>
        <w:spacing w:before="0" w:after="160"/>
        <w:rPr>
          <w:lang w:val="en-US"/>
        </w:rPr>
      </w:pPr>
      <w:r>
        <w:rPr>
          <w:lang w:val="en-US"/>
        </w:rPr>
        <w:t xml:space="preserve">To ensure stable behavior, the system also defines a tie breaking rule. When the difference between two scores is below a small threshold </w:t>
      </w:r>
      <w:r>
        <w:rPr/>
      </w:r>
      <m:oMath xmlns:m="http://schemas.openxmlformats.org/officeDocument/2006/math">
        <m:r>
          <m:t xml:space="preserve">δ</m:t>
        </m:r>
      </m:oMath>
      <w:r>
        <w:rPr>
          <w:lang w:val="en-US"/>
        </w:rPr>
        <w:t>, the ranking is resolved using CO₂ emissions as the secondary criterion. This encourages environmentally favourable options when user preferences produce near equal scores.</w:t>
      </w:r>
    </w:p>
    <w:p>
      <w:pPr>
        <w:pStyle w:val="Normal"/>
        <w:spacing w:before="0" w:after="160"/>
        <w:rPr>
          <w:lang w:val="en-US"/>
        </w:rPr>
      </w:pPr>
      <w:r>
        <w:rPr>
          <w:lang w:val="en-US"/>
        </w:rPr>
        <w:t>The cold start system does not yet estimate behavioural response parameters. Instead, it assigns nudges using rule-based logic that combines user goals and attribute advantages.</w:t>
      </w:r>
    </w:p>
    <w:p>
      <w:pPr>
        <w:pStyle w:val="Normal"/>
        <w:spacing w:before="0" w:after="160"/>
        <w:rPr>
          <w:lang w:val="en-US"/>
        </w:rPr>
      </w:pPr>
      <w:r>
        <w:rPr>
          <w:lang w:val="en-US"/>
        </w:rPr>
        <w:t>Users are asked to select personal goals during registration. These goals represent motivational factors that can support behavioural change.</w:t>
      </w:r>
    </w:p>
    <w:tbl>
      <w:tblPr>
        <w:tblStyle w:val="PlainTable2"/>
        <w:tblW w:w="6817"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373"/>
        <w:gridCol w:w="3444"/>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73" w:type="dxa"/>
            <w:tcBorders/>
          </w:tcPr>
          <w:p>
            <w:pPr>
              <w:pStyle w:val="Normal"/>
              <w:widowControl/>
              <w:spacing w:lineRule="auto" w:line="278" w:before="80" w:after="160"/>
              <w:jc w:val="start"/>
              <w:rPr>
                <w:lang w:val="en-US"/>
              </w:rPr>
            </w:pPr>
            <w:r>
              <w:rPr>
                <w:b/>
                <w:bCs/>
                <w:kern w:val="2"/>
                <w:lang w:val="en-US" w:eastAsia="en-US" w:bidi="ar-SA"/>
              </w:rPr>
              <w:t>Personal Goal</w:t>
            </w:r>
          </w:p>
        </w:tc>
        <w:tc>
          <w:tcPr>
            <w:tcW w:w="3444" w:type="dxa"/>
            <w:tcBorders/>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lang w:val="en-US"/>
              </w:rPr>
            </w:pPr>
            <w:r>
              <w:rPr>
                <w:b/>
                <w:bCs/>
                <w:kern w:val="2"/>
                <w:lang w:val="en-US" w:eastAsia="en-US" w:bidi="ar-SA"/>
              </w:rPr>
              <w:t>Nudge Emphasis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73" w:type="dxa"/>
            <w:tcBorders/>
          </w:tcPr>
          <w:p>
            <w:pPr>
              <w:pStyle w:val="Normal"/>
              <w:widowControl/>
              <w:spacing w:lineRule="auto" w:line="278" w:before="80" w:after="160"/>
              <w:rPr>
                <w:lang w:val="en-US"/>
              </w:rPr>
            </w:pPr>
            <w:r>
              <w:rPr>
                <w:b/>
                <w:bCs/>
                <w:kern w:val="2"/>
                <w:lang w:val="en-US" w:eastAsia="en-US" w:bidi="ar-SA"/>
              </w:rPr>
              <w:t>Improve fitness or physical activity</w:t>
            </w:r>
          </w:p>
        </w:tc>
        <w:tc>
          <w:tcPr>
            <w:tcW w:w="3444"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Health benefits</w:t>
            </w:r>
          </w:p>
        </w:tc>
      </w:tr>
      <w:tr>
        <w:trPr/>
        <w:tc>
          <w:tcPr>
            <w:cnfStyle w:val="001000000000" w:firstRow="0" w:lastRow="0" w:firstColumn="1" w:lastColumn="0" w:oddVBand="0" w:evenVBand="0" w:oddHBand="0" w:evenHBand="0" w:firstRowFirstColumn="0" w:firstRowLastColumn="0" w:lastRowFirstColumn="0" w:lastRowLastColumn="0"/>
            <w:tcW w:w="3373" w:type="dxa"/>
            <w:tcBorders>
              <w:top w:val="nil"/>
              <w:bottom w:val="nil"/>
            </w:tcBorders>
          </w:tcPr>
          <w:p>
            <w:pPr>
              <w:pStyle w:val="Normal"/>
              <w:widowControl/>
              <w:spacing w:lineRule="auto" w:line="278" w:before="80" w:after="160"/>
              <w:rPr>
                <w:lang w:val="en-US"/>
              </w:rPr>
            </w:pPr>
            <w:r>
              <w:rPr>
                <w:b/>
                <w:bCs/>
                <w:kern w:val="2"/>
                <w:lang w:val="en-US" w:eastAsia="en-US" w:bidi="ar-SA"/>
              </w:rPr>
              <w:t>Live more sustainably</w:t>
            </w:r>
          </w:p>
        </w:tc>
        <w:tc>
          <w:tcPr>
            <w:tcW w:w="3444" w:type="dxa"/>
            <w:tcBorders>
              <w:top w:val="nil"/>
              <w:bottom w:val="nil"/>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CO₂ reduction</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73" w:type="dxa"/>
            <w:tcBorders/>
          </w:tcPr>
          <w:p>
            <w:pPr>
              <w:pStyle w:val="Normal"/>
              <w:widowControl/>
              <w:spacing w:lineRule="auto" w:line="278" w:before="80" w:after="160"/>
              <w:rPr>
                <w:lang w:val="en-US"/>
              </w:rPr>
            </w:pPr>
            <w:r>
              <w:rPr>
                <w:b/>
                <w:bCs/>
                <w:kern w:val="2"/>
                <w:lang w:val="en-US" w:eastAsia="en-US" w:bidi="ar-SA"/>
              </w:rPr>
              <w:t>Save money</w:t>
            </w:r>
          </w:p>
        </w:tc>
        <w:tc>
          <w:tcPr>
            <w:tcW w:w="3444"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Financial savings</w:t>
            </w:r>
          </w:p>
        </w:tc>
      </w:tr>
      <w:tr>
        <w:trPr/>
        <w:tc>
          <w:tcPr>
            <w:cnfStyle w:val="001000000000" w:firstRow="0" w:lastRow="0" w:firstColumn="1" w:lastColumn="0" w:oddVBand="0" w:evenVBand="0" w:oddHBand="0" w:evenHBand="0" w:firstRowFirstColumn="0" w:firstRowLastColumn="0" w:lastRowFirstColumn="0" w:lastRowLastColumn="0"/>
            <w:tcW w:w="3373" w:type="dxa"/>
            <w:tcBorders>
              <w:top w:val="nil"/>
              <w:bottom w:val="nil"/>
            </w:tcBorders>
          </w:tcPr>
          <w:p>
            <w:pPr>
              <w:pStyle w:val="Normal"/>
              <w:widowControl/>
              <w:spacing w:lineRule="auto" w:line="278" w:before="80" w:after="160"/>
              <w:rPr>
                <w:lang w:val="en-US"/>
              </w:rPr>
            </w:pPr>
            <w:r>
              <w:rPr>
                <w:b/>
                <w:bCs/>
                <w:kern w:val="2"/>
                <w:lang w:val="en-US" w:eastAsia="en-US" w:bidi="ar-SA"/>
              </w:rPr>
              <w:t>Improve work life balance</w:t>
            </w:r>
          </w:p>
        </w:tc>
        <w:tc>
          <w:tcPr>
            <w:tcW w:w="3444" w:type="dxa"/>
            <w:tcBorders>
              <w:top w:val="nil"/>
              <w:bottom w:val="nil"/>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Faster and more predictable travel</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73" w:type="dxa"/>
            <w:tcBorders/>
          </w:tcPr>
          <w:p>
            <w:pPr>
              <w:pStyle w:val="Normal"/>
              <w:widowControl/>
              <w:spacing w:lineRule="auto" w:line="278" w:before="80" w:after="160"/>
              <w:rPr>
                <w:lang w:val="en-US"/>
              </w:rPr>
            </w:pPr>
            <w:r>
              <w:rPr>
                <w:b/>
                <w:bCs/>
                <w:kern w:val="2"/>
                <w:lang w:val="en-US" w:eastAsia="en-US" w:bidi="ar-SA"/>
              </w:rPr>
              <w:t>Have more relaxation time</w:t>
            </w:r>
          </w:p>
        </w:tc>
        <w:tc>
          <w:tcPr>
            <w:tcW w:w="3444"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Reduced walking and simpler routes</w:t>
            </w:r>
          </w:p>
        </w:tc>
      </w:tr>
      <w:tr>
        <w:trPr>
          <w:trHeight w:val="445" w:hRule="atLeast"/>
        </w:trPr>
        <w:tc>
          <w:tcPr>
            <w:cnfStyle w:val="001000000000" w:firstRow="0" w:lastRow="0" w:firstColumn="1" w:lastColumn="0" w:oddVBand="0" w:evenVBand="0" w:oddHBand="0" w:evenHBand="0" w:firstRowFirstColumn="0" w:firstRowLastColumn="0" w:lastRowFirstColumn="0" w:lastRowLastColumn="0"/>
            <w:tcW w:w="3373" w:type="dxa"/>
            <w:tcBorders>
              <w:top w:val="nil"/>
              <w:bottom w:val="nil"/>
            </w:tcBorders>
          </w:tcPr>
          <w:p>
            <w:pPr>
              <w:pStyle w:val="Normal"/>
              <w:widowControl/>
              <w:spacing w:lineRule="auto" w:line="278" w:before="80" w:after="160"/>
              <w:rPr>
                <w:lang w:val="en-US"/>
              </w:rPr>
            </w:pPr>
            <w:r>
              <w:rPr>
                <w:b/>
                <w:bCs/>
                <w:kern w:val="2"/>
                <w:lang w:val="en-US" w:eastAsia="en-US" w:bidi="ar-SA"/>
              </w:rPr>
              <w:t>Spend more time with family</w:t>
            </w:r>
          </w:p>
        </w:tc>
        <w:tc>
          <w:tcPr>
            <w:tcW w:w="3444" w:type="dxa"/>
            <w:tcBorders>
              <w:top w:val="nil"/>
              <w:bottom w:val="nil"/>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Reliable arrival time</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73" w:type="dxa"/>
            <w:tcBorders/>
          </w:tcPr>
          <w:p>
            <w:pPr>
              <w:pStyle w:val="Normal"/>
              <w:widowControl/>
              <w:spacing w:lineRule="auto" w:line="278" w:before="80" w:after="160"/>
              <w:rPr>
                <w:lang w:val="en-US"/>
              </w:rPr>
            </w:pPr>
            <w:r>
              <w:rPr>
                <w:b/>
                <w:bCs/>
                <w:kern w:val="2"/>
                <w:lang w:val="en-US" w:eastAsia="en-US" w:bidi="ar-SA"/>
              </w:rPr>
              <w:t>Focus on career or work</w:t>
            </w:r>
          </w:p>
        </w:tc>
        <w:tc>
          <w:tcPr>
            <w:tcW w:w="3444" w:type="dxa"/>
            <w:tcBorders/>
          </w:tcPr>
          <w:p>
            <w:pPr>
              <w:pStyle w:val="Normal"/>
              <w:widowControl/>
              <w:spacing w:lineRule="auto" w:line="278" w:before="80" w:after="160"/>
              <w:cnfStyle w:val="000000100000" w:firstRow="0" w:lastRow="0" w:firstColumn="0" w:lastColumn="0" w:oddVBand="0" w:evenVBand="0" w:oddHBand="1" w:evenHBand="0" w:firstRowFirstColumn="0" w:firstRowLastColumn="0" w:lastRowFirstColumn="0" w:lastRowLastColumn="0"/>
              <w:rPr>
                <w:lang w:val="en-US"/>
              </w:rPr>
            </w:pPr>
            <w:r>
              <w:rPr>
                <w:kern w:val="2"/>
                <w:lang w:val="en-US" w:eastAsia="en-US" w:bidi="ar-SA"/>
              </w:rPr>
              <w:t>Time efficiency</w:t>
            </w:r>
          </w:p>
        </w:tc>
      </w:tr>
    </w:tbl>
    <w:p>
      <w:pPr>
        <w:pStyle w:val="Normal"/>
        <w:spacing w:before="0" w:after="160"/>
        <w:rPr>
          <w:lang w:val="en-US"/>
        </w:rPr>
      </w:pPr>
      <w:r>
        <w:rPr>
          <w:lang w:val="en-US"/>
        </w:rPr>
      </w:r>
    </w:p>
    <w:p>
      <w:pPr>
        <w:pStyle w:val="Normal"/>
        <w:spacing w:before="0" w:after="160"/>
        <w:rPr>
          <w:lang w:val="en-US"/>
        </w:rPr>
      </w:pPr>
      <w:r>
        <w:rPr>
          <w:lang w:val="en-US"/>
        </w:rPr>
        <w:t>For each alternative, the system calculates the advantage of that option relative to the average performance across the candidate set:</w:t>
      </w:r>
    </w:p>
    <w:p>
      <w:pPr>
        <w:pStyle w:val="Normal"/>
        <w:spacing w:before="80" w:after="160"/>
        <w:jc w:val="center"/>
        <w:rPr>
          <w:lang w:val="el-GR"/>
        </w:rPr>
      </w:pPr>
      <w:r>
        <w:rPr/>
      </w:r>
      <m:oMathPara xmlns:m="http://schemas.openxmlformats.org/officeDocument/2006/math">
        <m:oMathParaPr>
          <m:jc m:val="center"/>
        </m:oMathParaPr>
        <m:oMath>
          <m:sSub>
            <m:e>
              <m:r>
                <m:t xml:space="preserve">A</m:t>
              </m:r>
            </m:e>
            <m:sub>
              <m:r>
                <m:t xml:space="preserve">i</m:t>
              </m:r>
              <m:r>
                <m:t xml:space="preserve">,</m:t>
              </m:r>
              <m:r>
                <m:t xml:space="preserve">m</m:t>
              </m:r>
            </m:sub>
          </m:sSub>
          <m:r>
            <m:rPr>
              <m:lit/>
              <m:nor/>
            </m:rPr>
            <m:t xml:space="preserve">=</m:t>
          </m:r>
          <m:acc>
            <m:accPr>
              <m:chr m:val="´"/>
            </m:accPr>
            <m:e>
              <m:sSub>
                <m:e>
                  <m:acc>
                    <m:accPr>
                      <m:chr m:val="^"/>
                    </m:accPr>
                    <m:e>
                      <m:r>
                        <m:t xml:space="preserve">x</m:t>
                      </m:r>
                    </m:e>
                  </m:acc>
                </m:e>
                <m:sub>
                  <m:r>
                    <m:t xml:space="preserve">⋅</m:t>
                  </m:r>
                  <m:r>
                    <m:t xml:space="preserve">,</m:t>
                  </m:r>
                  <m:r>
                    <m:t xml:space="preserve">m</m:t>
                  </m:r>
                </m:sub>
              </m:sSub>
            </m:e>
          </m:acc>
          <m:r>
            <m:rPr>
              <m:lit/>
              <m:nor/>
            </m:rPr>
            <m:t xml:space="preserve">-</m:t>
          </m:r>
          <m:sSub>
            <m:e>
              <m:acc>
                <m:accPr>
                  <m:chr m:val="^"/>
                </m:accPr>
                <m:e>
                  <m:r>
                    <m:t xml:space="preserve">x</m:t>
                  </m:r>
                </m:e>
              </m:acc>
            </m:e>
            <m:sub>
              <m:r>
                <m:t xml:space="preserve">i</m:t>
              </m:r>
              <m:r>
                <m:t xml:space="preserve">,</m:t>
              </m:r>
              <m:r>
                <m:t xml:space="preserve">m</m:t>
              </m:r>
            </m:sub>
          </m:sSub>
        </m:oMath>
      </m:oMathPara>
    </w:p>
    <w:p>
      <w:pPr>
        <w:pStyle w:val="Normal"/>
        <w:spacing w:before="0" w:after="160"/>
        <w:rPr>
          <w:lang w:val="en-US"/>
        </w:rPr>
      </w:pPr>
      <w:r>
        <w:rPr>
          <w:lang w:val="en-US"/>
        </w:rPr>
        <w:t>A positive value indicates that the alternative performs better than the average on that dimension. The algorithm then selects the nudge focus using two conditions. First, the dimension must belong to the user’s most important preference categories after goal adjustments. Second, the advantage value must exceed a predefined threshold. If no dimension satisfies both conditions, the system selects the dimension with the largest advantage. This ensures that each alternative receives a meaningful message. Applying this logic to the example scenario produces the following nudge assignment:</w:t>
      </w:r>
    </w:p>
    <w:tbl>
      <w:tblPr>
        <w:tblStyle w:val="ListTable2"/>
        <w:tblW w:w="8086" w:type="dxa"/>
        <w:jc w:val="start"/>
        <w:tblInd w:w="0" w:type="dxa"/>
        <w:tblLayout w:type="fixed"/>
        <w:tblCellMar>
          <w:top w:w="0" w:type="dxa"/>
          <w:start w:w="108" w:type="dxa"/>
          <w:bottom w:w="0" w:type="dxa"/>
          <w:end w:w="108" w:type="dxa"/>
        </w:tblCellMar>
        <w:tblLook w:val="06a0" w:firstRow="1" w:noVBand="1" w:lastRow="0" w:firstColumn="1" w:lastColumn="0" w:noHBand="1"/>
      </w:tblPr>
      <w:tblGrid>
        <w:gridCol w:w="850"/>
        <w:gridCol w:w="880"/>
        <w:gridCol w:w="2180"/>
        <w:gridCol w:w="4176"/>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tcPr>
          <w:p>
            <w:pPr>
              <w:pStyle w:val="Normal"/>
              <w:widowControl/>
              <w:spacing w:lineRule="auto" w:line="278" w:before="80" w:after="160"/>
              <w:jc w:val="start"/>
              <w:rPr>
                <w:lang w:val="en-US"/>
              </w:rPr>
            </w:pPr>
            <w:r>
              <w:rPr>
                <w:b/>
                <w:bCs/>
                <w:kern w:val="2"/>
                <w:lang w:val="en-US" w:eastAsia="en-US" w:bidi="ar-SA"/>
              </w:rPr>
              <w:t>Trip</w:t>
            </w:r>
          </w:p>
        </w:tc>
        <w:tc>
          <w:tcPr>
            <w:tcW w:w="880" w:type="dxa"/>
            <w:tcBorders/>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lang w:val="en-US"/>
              </w:rPr>
            </w:pPr>
            <w:r>
              <w:rPr>
                <w:b/>
                <w:bCs/>
                <w:kern w:val="2"/>
                <w:lang w:val="en-US" w:eastAsia="en-US" w:bidi="ar-SA"/>
              </w:rPr>
              <w:t>Mode</w:t>
            </w:r>
          </w:p>
        </w:tc>
        <w:tc>
          <w:tcPr>
            <w:tcW w:w="2180" w:type="dxa"/>
            <w:tcBorders/>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lang w:val="en-US"/>
              </w:rPr>
            </w:pPr>
            <w:r>
              <w:rPr>
                <w:b/>
                <w:bCs/>
                <w:kern w:val="2"/>
                <w:lang w:val="en-US" w:eastAsia="en-US" w:bidi="ar-SA"/>
              </w:rPr>
              <w:t>Nudge Focus</w:t>
            </w:r>
          </w:p>
        </w:tc>
        <w:tc>
          <w:tcPr>
            <w:tcW w:w="4176" w:type="dxa"/>
            <w:tcBorders/>
          </w:tcPr>
          <w:p>
            <w:pPr>
              <w:pStyle w:val="Normal"/>
              <w:widowControl/>
              <w:spacing w:lineRule="auto" w:line="278" w:before="80" w:after="160"/>
              <w:jc w:val="start"/>
              <w:cnfStyle w:val="100000000000" w:firstRow="1" w:lastRow="0" w:firstColumn="0" w:lastColumn="0" w:oddVBand="0" w:evenVBand="0" w:oddHBand="0" w:evenHBand="0" w:firstRowFirstColumn="0" w:firstRowLastColumn="0" w:lastRowFirstColumn="0" w:lastRowLastColumn="0"/>
              <w:rPr>
                <w:lang w:val="en-US"/>
              </w:rPr>
            </w:pPr>
            <w:r>
              <w:rPr>
                <w:b/>
                <w:bCs/>
                <w:kern w:val="2"/>
                <w:lang w:val="en-US" w:eastAsia="en-US" w:bidi="ar-SA"/>
              </w:rPr>
              <w:t>Example Message</w:t>
            </w:r>
          </w:p>
        </w:tc>
      </w:tr>
      <w:tr>
        <w:trPr/>
        <w:tc>
          <w:tcPr>
            <w:cnfStyle w:val="001000000000" w:firstRow="0" w:lastRow="0" w:firstColumn="1" w:lastColumn="0" w:oddVBand="0" w:evenVBand="0" w:oddHBand="0" w:evenHBand="0" w:firstRowFirstColumn="0" w:firstRowLastColumn="0" w:lastRowFirstColumn="0" w:lastRowLastColumn="0"/>
            <w:tcW w:w="850" w:type="dxa"/>
            <w:tcBorders/>
          </w:tcPr>
          <w:p>
            <w:pPr>
              <w:pStyle w:val="Normal"/>
              <w:widowControl/>
              <w:spacing w:lineRule="auto" w:line="278" w:before="80" w:after="160"/>
              <w:rPr>
                <w:lang w:val="en-US"/>
              </w:rPr>
            </w:pPr>
            <w:r>
              <w:rPr>
                <w:b/>
                <w:bCs/>
                <w:kern w:val="2"/>
                <w:lang w:val="en-US" w:eastAsia="en-US" w:bidi="ar-SA"/>
              </w:rPr>
              <w:t>Trip 0</w:t>
            </w:r>
          </w:p>
        </w:tc>
        <w:tc>
          <w:tcPr>
            <w:tcW w:w="880"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Car</w:t>
            </w:r>
          </w:p>
        </w:tc>
        <w:tc>
          <w:tcPr>
            <w:tcW w:w="2180"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Time saving</w:t>
            </w:r>
          </w:p>
        </w:tc>
        <w:tc>
          <w:tcPr>
            <w:tcW w:w="4176"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Fastest option with the shortest travel time</w:t>
            </w:r>
          </w:p>
        </w:tc>
      </w:tr>
      <w:tr>
        <w:trPr/>
        <w:tc>
          <w:tcPr>
            <w:cnfStyle w:val="001000000000" w:firstRow="0" w:lastRow="0" w:firstColumn="1" w:lastColumn="0" w:oddVBand="0" w:evenVBand="0" w:oddHBand="0" w:evenHBand="0" w:firstRowFirstColumn="0" w:firstRowLastColumn="0" w:lastRowFirstColumn="0" w:lastRowLastColumn="0"/>
            <w:tcW w:w="850" w:type="dxa"/>
            <w:tcBorders/>
          </w:tcPr>
          <w:p>
            <w:pPr>
              <w:pStyle w:val="Normal"/>
              <w:widowControl/>
              <w:spacing w:lineRule="auto" w:line="278" w:before="80" w:after="160"/>
              <w:rPr>
                <w:lang w:val="en-US"/>
              </w:rPr>
            </w:pPr>
            <w:r>
              <w:rPr>
                <w:b/>
                <w:bCs/>
                <w:kern w:val="2"/>
                <w:lang w:val="en-US" w:eastAsia="en-US" w:bidi="ar-SA"/>
              </w:rPr>
              <w:t>Trip 1</w:t>
            </w:r>
          </w:p>
        </w:tc>
        <w:tc>
          <w:tcPr>
            <w:tcW w:w="880"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Bus</w:t>
            </w:r>
          </w:p>
        </w:tc>
        <w:tc>
          <w:tcPr>
            <w:tcW w:w="2180"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Environmental impact</w:t>
            </w:r>
          </w:p>
        </w:tc>
        <w:tc>
          <w:tcPr>
            <w:tcW w:w="4176"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Reduces emissions compared with driving</w:t>
            </w:r>
          </w:p>
        </w:tc>
      </w:tr>
      <w:tr>
        <w:trPr/>
        <w:tc>
          <w:tcPr>
            <w:cnfStyle w:val="001000000000" w:firstRow="0" w:lastRow="0" w:firstColumn="1" w:lastColumn="0" w:oddVBand="0" w:evenVBand="0" w:oddHBand="0" w:evenHBand="0" w:firstRowFirstColumn="0" w:firstRowLastColumn="0" w:lastRowFirstColumn="0" w:lastRowLastColumn="0"/>
            <w:tcW w:w="850" w:type="dxa"/>
            <w:tcBorders/>
          </w:tcPr>
          <w:p>
            <w:pPr>
              <w:pStyle w:val="Normal"/>
              <w:widowControl/>
              <w:spacing w:lineRule="auto" w:line="278" w:before="80" w:after="160"/>
              <w:rPr>
                <w:lang w:val="en-US"/>
              </w:rPr>
            </w:pPr>
            <w:r>
              <w:rPr>
                <w:b/>
                <w:bCs/>
                <w:kern w:val="2"/>
                <w:lang w:val="en-US" w:eastAsia="en-US" w:bidi="ar-SA"/>
              </w:rPr>
              <w:t>Trip 3</w:t>
            </w:r>
          </w:p>
        </w:tc>
        <w:tc>
          <w:tcPr>
            <w:tcW w:w="880"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Bicycle</w:t>
            </w:r>
          </w:p>
        </w:tc>
        <w:tc>
          <w:tcPr>
            <w:tcW w:w="2180"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Health benefit</w:t>
            </w:r>
          </w:p>
        </w:tc>
        <w:tc>
          <w:tcPr>
            <w:tcW w:w="4176" w:type="dxa"/>
            <w:tcBorders/>
          </w:tcPr>
          <w:p>
            <w:pPr>
              <w:pStyle w:val="Normal"/>
              <w:widowControl/>
              <w:spacing w:lineRule="auto" w:line="278" w:before="80" w:after="160"/>
              <w:cnfStyle w:val="000000000000" w:firstRow="0" w:lastRow="0" w:firstColumn="0" w:lastColumn="0" w:oddVBand="0" w:evenVBand="0" w:oddHBand="0" w:evenHBand="0" w:firstRowFirstColumn="0" w:firstRowLastColumn="0" w:lastRowFirstColumn="0" w:lastRowLastColumn="0"/>
              <w:rPr>
                <w:lang w:val="en-US"/>
              </w:rPr>
            </w:pPr>
            <w:r>
              <w:rPr>
                <w:kern w:val="2"/>
                <w:lang w:val="en-US" w:eastAsia="en-US" w:bidi="ar-SA"/>
              </w:rPr>
              <w:t>Burns calories and improves physical activity</w:t>
            </w:r>
          </w:p>
        </w:tc>
      </w:tr>
    </w:tbl>
    <w:p>
      <w:pPr>
        <w:pStyle w:val="Normal"/>
        <w:rPr>
          <w:lang w:val="en-US"/>
        </w:rPr>
      </w:pPr>
      <w:r>
        <w:rPr>
          <w:lang w:val="en-US"/>
        </w:rPr>
      </w:r>
    </w:p>
    <w:p>
      <w:pPr>
        <w:pStyle w:val="Normal"/>
        <w:spacing w:before="0" w:after="160"/>
        <w:rPr>
          <w:lang w:val="en-US"/>
        </w:rPr>
      </w:pPr>
      <w:r>
        <w:rPr>
          <w:lang w:val="en-US"/>
        </w:rPr>
        <w:t>The selected focus and supporting metrics are passed to the language model module. The language model then generates a concise message for each alternative, such as “This option reduces emissions by approximately 380 g CO₂ compared with driving” or “Cycling burns around 95 kcal while producing zero emissions”.</w:t>
      </w:r>
    </w:p>
    <w:p>
      <w:pPr>
        <w:pStyle w:val="Heading1"/>
        <w:rPr/>
      </w:pPr>
      <w:bookmarkStart w:id="94" w:name="_Toc226020142"/>
      <w:bookmarkStart w:id="95" w:name="_Toc226016127"/>
      <w:bookmarkStart w:id="96" w:name="_Toc961594712"/>
      <w:r>
        <w:rPr/>
        <w:t>4. Mobile Application (R2.5.2)</w:t>
      </w:r>
      <w:bookmarkEnd w:id="94"/>
      <w:bookmarkEnd w:id="95"/>
      <w:bookmarkEnd w:id="96"/>
      <w:r>
        <w:rPr/>
        <w:t xml:space="preserve"> </w:t>
      </w:r>
    </w:p>
    <w:p>
      <w:pPr>
        <w:pStyle w:val="Heading2"/>
        <w:rPr/>
      </w:pPr>
      <w:bookmarkStart w:id="97" w:name="_Toc226020143"/>
      <w:bookmarkStart w:id="98" w:name="_Toc226016128"/>
      <w:bookmarkStart w:id="99" w:name="_Toc2036793535"/>
      <w:r>
        <w:rPr/>
        <w:t>4.1 Application Overview</w:t>
      </w:r>
      <w:bookmarkEnd w:id="97"/>
      <w:bookmarkEnd w:id="98"/>
      <w:bookmarkEnd w:id="99"/>
    </w:p>
    <w:p>
      <w:pPr>
        <w:pStyle w:val="Normal"/>
        <w:rPr/>
      </w:pPr>
      <w:r>
        <w:rPr/>
        <w:t xml:space="preserve">The MobilAir mobile application provides the user a portal to all the features that will aid them in their sustainable and green mobility choices while earning points that can be exchanged for various gifts. </w:t>
      </w:r>
    </w:p>
    <w:p>
      <w:pPr>
        <w:pStyle w:val="Normal"/>
        <w:rPr/>
      </w:pPr>
      <w:r>
        <w:rPr/>
        <w:t xml:space="preserve">The application will be available for iOS and Android devices through the App Store and Play Store respectively. </w:t>
      </w:r>
    </w:p>
    <w:p>
      <w:pPr>
        <w:pStyle w:val="Normal"/>
        <w:rPr/>
      </w:pPr>
      <w:r>
        <w:rPr/>
        <w:t xml:space="preserve">The users must create an account that requires email verification in order to access the features of the application. </w:t>
      </w:r>
    </w:p>
    <w:p>
      <w:pPr>
        <w:pStyle w:val="Normal"/>
        <w:rPr/>
      </w:pPr>
      <w:r>
        <w:rPr/>
        <w:t>The application communications will be transferred over secure and encrypted HTTPS protocol thus ensuring the protection of the personal data of the users.</w:t>
      </w:r>
    </w:p>
    <w:p>
      <w:pPr>
        <w:pStyle w:val="Heading2"/>
        <w:rPr/>
      </w:pPr>
      <w:bookmarkStart w:id="100" w:name="_Toc226020144"/>
      <w:bookmarkStart w:id="101" w:name="_Toc226016129"/>
      <w:bookmarkStart w:id="102" w:name="_Toc1501598636"/>
      <w:r>
        <w:rPr/>
        <w:t>4.2 Application Features &amp; Screenshots</w:t>
      </w:r>
      <w:bookmarkEnd w:id="100"/>
      <w:bookmarkEnd w:id="101"/>
      <w:bookmarkEnd w:id="102"/>
    </w:p>
    <w:p>
      <w:pPr>
        <w:pStyle w:val="Normal"/>
        <w:rPr>
          <w:lang w:val="en-US"/>
        </w:rPr>
      </w:pPr>
      <w:r>
        <w:rPr>
          <w:lang w:val="en-US"/>
        </w:rPr>
        <w:t xml:space="preserve">The Mobilair mobile application consists of user-friendly, modern and easy-to-use interface. It was developed using React Native ensuring a common UI experience on both major OS platforms (Android and iOS). The main features of the application are described below. </w:t>
      </w:r>
    </w:p>
    <w:p>
      <w:pPr>
        <w:pStyle w:val="Heading3"/>
        <w:rPr/>
      </w:pPr>
      <w:bookmarkStart w:id="103" w:name="_Toc226020145"/>
      <w:bookmarkStart w:id="104" w:name="_Toc226016130"/>
      <w:bookmarkStart w:id="105" w:name="_Toc46649917"/>
      <w:r>
        <w:rPr/>
        <w:t>User authentication</w:t>
      </w:r>
      <w:bookmarkEnd w:id="103"/>
      <w:bookmarkEnd w:id="104"/>
      <w:bookmarkEnd w:id="105"/>
      <w:r>
        <w:rPr/>
        <w:t xml:space="preserve"> </w:t>
      </w:r>
    </w:p>
    <w:p>
      <w:pPr>
        <w:pStyle w:val="Normal"/>
        <w:rPr/>
      </w:pPr>
      <w:r>
        <w:rPr/>
        <w:t>The application provides the necessary user management services that can be used for account creation (registration) and logging in for full feature access. During the registration the user must enter a valid email address, a password and agreement to the terms and conditions. As a last step, the user must verify the provided email address for the account to be enabled.</w:t>
      </w:r>
    </w:p>
    <w:p>
      <w:pPr>
        <w:pStyle w:val="Heading3"/>
        <w:rPr/>
      </w:pPr>
      <w:bookmarkStart w:id="106" w:name="_Toc226020146"/>
      <w:bookmarkStart w:id="107" w:name="_Toc226016131"/>
      <w:bookmarkStart w:id="108" w:name="_Toc711357459"/>
      <w:r>
        <w:rPr/>
        <w:t>On-boarding survey</w:t>
      </w:r>
      <w:bookmarkEnd w:id="106"/>
      <w:bookmarkEnd w:id="107"/>
      <w:bookmarkEnd w:id="108"/>
    </w:p>
    <w:p>
      <w:pPr>
        <w:pStyle w:val="Normal"/>
        <w:rPr/>
      </w:pPr>
      <w:r>
        <w:rPr/>
        <w:t>The first time the user logs in into the application, they must complete the on-boarding survey where they must answer a series of questions. These questions will be used to construct a personalized profile of the user and are a vital part of the nudging system.</w:t>
      </w:r>
    </w:p>
    <w:p>
      <w:pPr>
        <w:pStyle w:val="Heading3"/>
        <w:rPr/>
      </w:pPr>
      <w:bookmarkStart w:id="109" w:name="_Toc226020147"/>
      <w:bookmarkStart w:id="110" w:name="_Toc226016132"/>
      <w:bookmarkStart w:id="111" w:name="_Toc2063828545"/>
      <w:r>
        <w:rPr/>
        <w:t>Air Quality</w:t>
      </w:r>
      <w:bookmarkEnd w:id="109"/>
      <w:bookmarkEnd w:id="110"/>
      <w:bookmarkEnd w:id="111"/>
    </w:p>
    <w:p>
      <w:pPr>
        <w:pStyle w:val="Normal"/>
        <w:rPr/>
      </w:pPr>
      <w:r>
        <w:rPr/>
        <w:t xml:space="preserve">Similarly, with the display described above, the user can have access to a qualitative value of the air quality in the area (e.g. “Very Good”, “Good” etc) along with a corresponding colour. </w:t>
      </w:r>
    </w:p>
    <w:p>
      <w:pPr>
        <w:pStyle w:val="Heading3"/>
        <w:rPr/>
      </w:pPr>
      <w:bookmarkStart w:id="112" w:name="_Toc226020148"/>
      <w:bookmarkStart w:id="113" w:name="_Toc226016133"/>
      <w:bookmarkStart w:id="114" w:name="_Toc689202765"/>
      <w:r>
        <w:rPr/>
        <w:t>Eco-routing</w:t>
      </w:r>
      <w:bookmarkEnd w:id="112"/>
      <w:bookmarkEnd w:id="113"/>
      <w:bookmarkEnd w:id="114"/>
    </w:p>
    <w:p>
      <w:pPr>
        <w:pStyle w:val="Normal"/>
        <w:rPr/>
      </w:pPr>
      <w:r>
        <w:rPr/>
        <w:t xml:space="preserve">In this feature, the user can provide the origin and destination of their desired trip and view alternatives based on CO2 and money cost across different modes of transport. The user can select a trip and view all the details regarding the route, cost and CO2 consumption. If the user selects the car option, the application provides the most eco-friendly route available. </w:t>
      </w:r>
    </w:p>
    <w:p>
      <w:pPr>
        <w:pStyle w:val="Heading3"/>
        <w:rPr/>
      </w:pPr>
      <w:bookmarkStart w:id="115" w:name="_Toc226020149"/>
      <w:bookmarkStart w:id="116" w:name="_Toc226016134"/>
      <w:bookmarkStart w:id="117" w:name="_Toc2064438323"/>
      <w:r>
        <w:rPr/>
        <w:t>Level progress, eco-coins and gifts</w:t>
      </w:r>
      <w:bookmarkEnd w:id="115"/>
      <w:bookmarkEnd w:id="116"/>
      <w:bookmarkEnd w:id="117"/>
    </w:p>
    <w:p>
      <w:pPr>
        <w:pStyle w:val="Normal"/>
        <w:rPr/>
      </w:pPr>
      <w:r>
        <w:rPr/>
        <w:t xml:space="preserve">In this screen, the user can view the progress regarding their level, view their accumulated eco-coins and the available gifts. Here they can also spend their eco-coins to receive a gift of their choice. </w:t>
      </w:r>
    </w:p>
    <w:p>
      <w:pPr>
        <w:pStyle w:val="Heading3"/>
        <w:rPr/>
      </w:pPr>
      <w:bookmarkStart w:id="118" w:name="_Toc226020150"/>
      <w:bookmarkStart w:id="119" w:name="_Toc226016135"/>
      <w:bookmarkStart w:id="120" w:name="_Toc185720471"/>
      <w:r>
        <w:rPr/>
        <w:t>Gift redemption</w:t>
      </w:r>
      <w:bookmarkEnd w:id="118"/>
      <w:bookmarkEnd w:id="119"/>
      <w:bookmarkEnd w:id="120"/>
    </w:p>
    <w:p>
      <w:pPr>
        <w:pStyle w:val="Normal"/>
        <w:rPr/>
      </w:pPr>
      <w:r>
        <w:rPr/>
        <w:t xml:space="preserve">The received gifts are displayed in this section of the application. Through here the user can redeem their bought gifts by presenting the unique QR code to the competent business. </w:t>
      </w:r>
    </w:p>
    <w:p>
      <w:pPr>
        <w:pStyle w:val="Heading3"/>
        <w:rPr/>
      </w:pPr>
      <w:bookmarkStart w:id="121" w:name="_Toc226020151"/>
      <w:bookmarkStart w:id="122" w:name="_Toc226016136"/>
      <w:r>
        <w:rPr/>
        <w:t>Quizzes and Surveys</w:t>
      </w:r>
      <w:bookmarkEnd w:id="121"/>
      <w:bookmarkEnd w:id="122"/>
    </w:p>
    <w:p>
      <w:pPr>
        <w:pStyle w:val="Normal"/>
        <w:rPr/>
      </w:pPr>
      <w:r>
        <w:rPr/>
        <w:t xml:space="preserve">This application screen, provides a list of the available quizzes and surveys the user can answer. Completing a quiz or a survey the user collects points that go towards levelling up. </w:t>
      </w:r>
    </w:p>
    <w:p>
      <w:pPr>
        <w:pStyle w:val="Normal"/>
        <w:keepNext w:val="true"/>
        <w:rPr/>
      </w:pPr>
      <w:r>
        <w:rPr/>
        <w:drawing>
          <wp:inline distT="0" distB="0" distL="0" distR="0">
            <wp:extent cx="1239520" cy="2628900"/>
            <wp:effectExtent l="0" t="0" r="0"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noChangeArrowheads="1"/>
                    </pic:cNvPicPr>
                  </pic:nvPicPr>
                  <pic:blipFill>
                    <a:blip r:embed="rId21"/>
                    <a:srcRect l="0" t="4506" r="0" b="0"/>
                    <a:stretch>
                      <a:fillRect/>
                    </a:stretch>
                  </pic:blipFill>
                  <pic:spPr bwMode="auto">
                    <a:xfrm>
                      <a:off x="0" y="0"/>
                      <a:ext cx="1239520" cy="2628900"/>
                    </a:xfrm>
                    <a:prstGeom prst="rect">
                      <a:avLst/>
                    </a:prstGeom>
                    <a:noFill/>
                  </pic:spPr>
                </pic:pic>
              </a:graphicData>
            </a:graphic>
          </wp:inline>
        </w:drawing>
      </w:r>
      <w:r>
        <w:rPr/>
        <w:drawing>
          <wp:inline distT="0" distB="0" distL="0" distR="0">
            <wp:extent cx="1259205" cy="2667000"/>
            <wp:effectExtent l="0" t="0" r="0"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noChangeArrowheads="1"/>
                    </pic:cNvPicPr>
                  </pic:nvPicPr>
                  <pic:blipFill>
                    <a:blip r:embed="rId22"/>
                    <a:srcRect l="0" t="4617" r="0" b="0"/>
                    <a:stretch>
                      <a:fillRect/>
                    </a:stretch>
                  </pic:blipFill>
                  <pic:spPr bwMode="auto">
                    <a:xfrm>
                      <a:off x="0" y="0"/>
                      <a:ext cx="1259205" cy="2667000"/>
                    </a:xfrm>
                    <a:prstGeom prst="rect">
                      <a:avLst/>
                    </a:prstGeom>
                    <a:noFill/>
                  </pic:spPr>
                </pic:pic>
              </a:graphicData>
            </a:graphic>
          </wp:inline>
        </w:drawing>
      </w:r>
      <w:r>
        <w:rPr/>
        <w:drawing>
          <wp:inline distT="0" distB="0" distL="0" distR="0">
            <wp:extent cx="1260475" cy="2667000"/>
            <wp:effectExtent l="0" t="0" r="0"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noChangeArrowheads="1"/>
                    </pic:cNvPicPr>
                  </pic:nvPicPr>
                  <pic:blipFill>
                    <a:blip r:embed="rId23"/>
                    <a:srcRect l="0" t="4746" r="0" b="0"/>
                    <a:stretch>
                      <a:fillRect/>
                    </a:stretch>
                  </pic:blipFill>
                  <pic:spPr bwMode="auto">
                    <a:xfrm>
                      <a:off x="0" y="0"/>
                      <a:ext cx="1260475" cy="2667000"/>
                    </a:xfrm>
                    <a:prstGeom prst="rect">
                      <a:avLst/>
                    </a:prstGeom>
                    <a:noFill/>
                  </pic:spPr>
                </pic:pic>
              </a:graphicData>
            </a:graphic>
          </wp:inline>
        </w:drawing>
      </w:r>
      <w:r>
        <w:rPr/>
        <w:drawing>
          <wp:inline distT="0" distB="0" distL="0" distR="0">
            <wp:extent cx="1266825" cy="2680335"/>
            <wp:effectExtent l="0" t="0" r="0" b="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noChangeArrowheads="1"/>
                    </pic:cNvPicPr>
                  </pic:nvPicPr>
                  <pic:blipFill>
                    <a:blip r:embed="rId24"/>
                    <a:srcRect l="0" t="4761" r="0" b="0"/>
                    <a:stretch>
                      <a:fillRect/>
                    </a:stretch>
                  </pic:blipFill>
                  <pic:spPr bwMode="auto">
                    <a:xfrm>
                      <a:off x="0" y="0"/>
                      <a:ext cx="1266825" cy="2680335"/>
                    </a:xfrm>
                    <a:prstGeom prst="rect">
                      <a:avLst/>
                    </a:prstGeom>
                    <a:noFill/>
                  </pic:spPr>
                </pic:pic>
              </a:graphicData>
            </a:graphic>
          </wp:inline>
        </w:drawing>
      </w:r>
      <w:r>
        <w:rPr/>
        <w:drawing>
          <wp:inline distT="0" distB="0" distL="0" distR="0">
            <wp:extent cx="1268095" cy="2686050"/>
            <wp:effectExtent l="0" t="0" r="0" b="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noChangeArrowheads="1"/>
                    </pic:cNvPicPr>
                  </pic:nvPicPr>
                  <pic:blipFill>
                    <a:blip r:embed="rId25"/>
                    <a:srcRect l="0" t="4646" r="0" b="0"/>
                    <a:stretch>
                      <a:fillRect/>
                    </a:stretch>
                  </pic:blipFill>
                  <pic:spPr bwMode="auto">
                    <a:xfrm>
                      <a:off x="0" y="0"/>
                      <a:ext cx="1268095" cy="2686050"/>
                    </a:xfrm>
                    <a:prstGeom prst="rect">
                      <a:avLst/>
                    </a:prstGeom>
                    <a:noFill/>
                  </pic:spPr>
                </pic:pic>
              </a:graphicData>
            </a:graphic>
          </wp:inline>
        </w:drawing>
      </w:r>
      <w:r>
        <w:rPr/>
        <w:drawing>
          <wp:inline distT="0" distB="0" distL="0" distR="0">
            <wp:extent cx="1260475" cy="2667000"/>
            <wp:effectExtent l="0" t="0" r="0" b="0"/>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noChangeArrowheads="1"/>
                    </pic:cNvPicPr>
                  </pic:nvPicPr>
                  <pic:blipFill>
                    <a:blip r:embed="rId26"/>
                    <a:srcRect l="0" t="4743" r="0" b="0"/>
                    <a:stretch>
                      <a:fillRect/>
                    </a:stretch>
                  </pic:blipFill>
                  <pic:spPr bwMode="auto">
                    <a:xfrm>
                      <a:off x="0" y="0"/>
                      <a:ext cx="1260475" cy="2667000"/>
                    </a:xfrm>
                    <a:prstGeom prst="rect">
                      <a:avLst/>
                    </a:prstGeom>
                    <a:noFill/>
                  </pic:spPr>
                </pic:pic>
              </a:graphicData>
            </a:graphic>
          </wp:inline>
        </w:drawing>
      </w:r>
      <w:r>
        <w:rPr/>
        <w:drawing>
          <wp:inline distT="0" distB="0" distL="0" distR="0">
            <wp:extent cx="1263015" cy="2676525"/>
            <wp:effectExtent l="0" t="0" r="0"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noChangeArrowheads="1"/>
                    </pic:cNvPicPr>
                  </pic:nvPicPr>
                  <pic:blipFill>
                    <a:blip r:embed="rId27"/>
                    <a:srcRect l="0" t="4624" r="0" b="0"/>
                    <a:stretch>
                      <a:fillRect/>
                    </a:stretch>
                  </pic:blipFill>
                  <pic:spPr bwMode="auto">
                    <a:xfrm>
                      <a:off x="0" y="0"/>
                      <a:ext cx="1263015" cy="2676525"/>
                    </a:xfrm>
                    <a:prstGeom prst="rect">
                      <a:avLst/>
                    </a:prstGeom>
                    <a:noFill/>
                  </pic:spPr>
                </pic:pic>
              </a:graphicData>
            </a:graphic>
          </wp:inline>
        </w:drawing>
      </w:r>
      <w:r>
        <w:rPr/>
        <w:drawing>
          <wp:inline distT="0" distB="0" distL="0" distR="0">
            <wp:extent cx="1254760" cy="2657475"/>
            <wp:effectExtent l="0" t="0" r="0" b="0"/>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noChangeArrowheads="1"/>
                    </pic:cNvPicPr>
                  </pic:nvPicPr>
                  <pic:blipFill>
                    <a:blip r:embed="rId28"/>
                    <a:srcRect l="0" t="4617" r="0" b="0"/>
                    <a:stretch>
                      <a:fillRect/>
                    </a:stretch>
                  </pic:blipFill>
                  <pic:spPr bwMode="auto">
                    <a:xfrm>
                      <a:off x="0" y="0"/>
                      <a:ext cx="1254760" cy="2657475"/>
                    </a:xfrm>
                    <a:prstGeom prst="rect">
                      <a:avLst/>
                    </a:prstGeom>
                    <a:noFill/>
                  </pic:spPr>
                </pic:pic>
              </a:graphicData>
            </a:graphic>
          </wp:inline>
        </w:drawing>
      </w:r>
    </w:p>
    <w:p>
      <w:pPr>
        <w:pStyle w:val="Caption"/>
        <w:rPr/>
      </w:pPr>
      <w:bookmarkStart w:id="123" w:name="_Toc226020115"/>
      <w:r>
        <w:rPr/>
        <w:t xml:space="preserve">Figure </w:t>
      </w:r>
      <w:r>
        <w:rPr/>
        <w:fldChar w:fldCharType="begin"/>
      </w:r>
      <w:r>
        <w:rPr/>
        <w:instrText xml:space="preserve"> SEQ Figure \* ARABIC </w:instrText>
      </w:r>
      <w:r>
        <w:rPr/>
        <w:fldChar w:fldCharType="separate"/>
      </w:r>
      <w:r>
        <w:rPr/>
        <w:t>7</w:t>
      </w:r>
      <w:r>
        <w:rPr/>
        <w:fldChar w:fldCharType="end"/>
      </w:r>
      <w:r>
        <w:rPr/>
        <w:t xml:space="preserve"> From left to right: (i) Example of on-boarding survey question, (ii) Air quality screen, (iii) Eco routing example, (iv) Level and points screen, (v) Quiz and surveys screen, (vi) Quiz example, (vii) Survey example, (viii) What-if question example (nudging)</w:t>
      </w:r>
      <w:bookmarkEnd w:id="123"/>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Heading1"/>
        <w:rPr>
          <w:rFonts w:ascii="Arial" w:hAnsi="Arial" w:cs="Arial"/>
          <w:b w:val="false"/>
          <w:bCs w:val="false"/>
          <w:kern w:val="0"/>
          <w14:ligatures w14:val="none"/>
        </w:rPr>
      </w:pPr>
      <w:bookmarkStart w:id="124" w:name="_Toc226020152"/>
      <w:bookmarkStart w:id="125" w:name="_Toc226016137"/>
      <w:bookmarkStart w:id="126" w:name="_Toc921002283"/>
      <w:r>
        <w:rPr/>
        <w:t>References</w:t>
      </w:r>
      <w:bookmarkEnd w:id="124"/>
      <w:bookmarkEnd w:id="125"/>
      <w:bookmarkEnd w:id="126"/>
      <w:r>
        <w:rPr>
          <w:rStyle w:val="Heading1Char"/>
          <w:b w:val="false"/>
          <w:bCs w:val="false"/>
        </w:rPr>
        <w:t xml:space="preserve"> </w:t>
      </w:r>
    </w:p>
    <w:p>
      <w:pPr>
        <w:pStyle w:val="Normal"/>
        <w:spacing w:lineRule="auto" w:line="240" w:before="80" w:after="120"/>
        <w:contextualSpacing/>
        <w:rPr>
          <w:rFonts w:eastAsia="Aptos"/>
          <w:kern w:val="0"/>
          <w14:ligatures w14:val="none"/>
        </w:rPr>
      </w:pPr>
      <w:r>
        <w:rPr>
          <w:rFonts w:eastAsia="Aptos"/>
          <w:kern w:val="0"/>
          <w:lang w:val="en-US"/>
          <w14:ligatures w14:val="none"/>
        </w:rPr>
        <w:t xml:space="preserve">Ayvens. (2025). </w:t>
      </w:r>
      <w:r>
        <w:rPr>
          <w:rFonts w:eastAsia="Aptos"/>
          <w:i/>
          <w:iCs/>
          <w:kern w:val="0"/>
          <w:lang w:val="en-US"/>
          <w14:ligatures w14:val="none"/>
        </w:rPr>
        <w:t xml:space="preserve">Ayvens Car Cost Index 2025. </w:t>
      </w:r>
      <w:r>
        <w:rPr>
          <w:rFonts w:eastAsia="Aptos"/>
          <w:kern w:val="0"/>
          <w:lang w:val="en-US"/>
          <w14:ligatures w14:val="none"/>
        </w:rPr>
        <w:t xml:space="preserve">Ayvens. </w:t>
      </w:r>
      <w:hyperlink r:id="rId29">
        <w:r>
          <w:rPr>
            <w:rStyle w:val="Hyperlink"/>
            <w:rFonts w:eastAsia="Aptos"/>
            <w:kern w:val="0"/>
            <w:lang w:val="en-US"/>
            <w14:ligatures w14:val="none"/>
          </w:rPr>
          <w:t>https://www.ayvens.com/-/media/ayvens/public/shared/documents/ayvens-car-cost-index-2025---march-2025.pdf</w:t>
        </w:r>
      </w:hyperlink>
    </w:p>
    <w:p>
      <w:pPr>
        <w:pStyle w:val="Normal"/>
        <w:spacing w:lineRule="auto" w:line="240" w:before="80" w:after="120"/>
        <w:contextualSpacing/>
        <w:rPr>
          <w:rFonts w:eastAsia="Aptos"/>
          <w:kern w:val="0"/>
          <w:lang w:val="en-US"/>
          <w14:ligatures w14:val="none"/>
        </w:rPr>
      </w:pPr>
      <w:r>
        <w:rPr>
          <w:rFonts w:eastAsia="Aptos"/>
          <w:kern w:val="0"/>
          <w:lang w:val="en-US"/>
          <w14:ligatures w14:val="none"/>
        </w:rPr>
      </w:r>
    </w:p>
    <w:p>
      <w:pPr>
        <w:pStyle w:val="Normal"/>
        <w:spacing w:lineRule="auto" w:line="240" w:before="80" w:after="120"/>
        <w:contextualSpacing/>
        <w:rPr>
          <w:rFonts w:eastAsia="Aptos"/>
          <w:kern w:val="0"/>
          <w:lang w:val="de-DE"/>
          <w14:ligatures w14:val="none"/>
        </w:rPr>
      </w:pPr>
      <w:r>
        <w:rPr>
          <w:rFonts w:eastAsia="Aptos"/>
          <w:kern w:val="0"/>
          <w:lang w:val="en-US"/>
          <w14:ligatures w14:val="none"/>
        </w:rPr>
        <w:t xml:space="preserve">FIA Region I. (2022). </w:t>
      </w:r>
      <w:r>
        <w:rPr>
          <w:rFonts w:eastAsia="Aptos"/>
          <w:i/>
          <w:iCs/>
          <w:kern w:val="0"/>
          <w:lang w:val="en-US"/>
          <w14:ligatures w14:val="none"/>
        </w:rPr>
        <w:t xml:space="preserve">EU Fleet TCO Analysis: Total Cost of Ownership of Passenger Cars. </w:t>
      </w:r>
      <w:r>
        <w:rPr>
          <w:rFonts w:eastAsia="Aptos"/>
          <w:kern w:val="0"/>
          <w:lang w:val="de-DE"/>
          <w14:ligatures w14:val="none"/>
        </w:rPr>
        <w:t xml:space="preserve">FIA Region I. </w:t>
      </w:r>
      <w:hyperlink r:id="rId30">
        <w:r>
          <w:rPr>
            <w:rStyle w:val="Hyperlink"/>
            <w:rFonts w:eastAsia="Aptos"/>
            <w:kern w:val="0"/>
            <w:lang w:val="de-DE"/>
            <w14:ligatures w14:val="none"/>
          </w:rPr>
          <w:t>https://www.fiaregion1.com/wp-content/uploads/2022/11/FIA_Study_CostofOwnership.pdf</w:t>
        </w:r>
      </w:hyperlink>
    </w:p>
    <w:p>
      <w:pPr>
        <w:pStyle w:val="Normal"/>
        <w:spacing w:lineRule="auto" w:line="240" w:before="80" w:after="120"/>
        <w:contextualSpacing/>
        <w:rPr>
          <w:rFonts w:eastAsia="Aptos"/>
          <w:kern w:val="0"/>
          <w:lang w:val="de-DE"/>
          <w14:ligatures w14:val="none"/>
        </w:rPr>
      </w:pPr>
      <w:r>
        <w:rPr>
          <w:rFonts w:eastAsia="Aptos"/>
          <w:kern w:val="0"/>
          <w:lang w:val="de-DE"/>
          <w14:ligatures w14:val="none"/>
        </w:rPr>
      </w:r>
    </w:p>
    <w:p>
      <w:pPr>
        <w:pStyle w:val="Normal"/>
        <w:spacing w:lineRule="auto" w:line="240" w:before="80" w:after="120"/>
        <w:contextualSpacing/>
        <w:rPr>
          <w:rFonts w:eastAsia="Aptos"/>
          <w:kern w:val="0"/>
          <w14:ligatures w14:val="none"/>
        </w:rPr>
      </w:pPr>
      <w:r>
        <w:rPr>
          <w:rFonts w:eastAsia="Aptos"/>
          <w:kern w:val="0"/>
          <w:lang w:val="en-US"/>
          <w14:ligatures w14:val="none"/>
        </w:rPr>
        <w:t xml:space="preserve">Eurostat. (2025). </w:t>
      </w:r>
      <w:r>
        <w:rPr>
          <w:rFonts w:eastAsia="Aptos"/>
          <w:i/>
          <w:iCs/>
          <w:kern w:val="0"/>
          <w:lang w:val="en-US"/>
          <w14:ligatures w14:val="none"/>
        </w:rPr>
        <w:t xml:space="preserve">Passenger Cars in the EU. </w:t>
      </w:r>
      <w:r>
        <w:rPr>
          <w:rFonts w:eastAsia="Aptos"/>
          <w:kern w:val="0"/>
          <w:lang w:val="en-US"/>
          <w14:ligatures w14:val="none"/>
        </w:rPr>
        <w:t xml:space="preserve">Statistics Explained, European Commission. </w:t>
      </w:r>
      <w:hyperlink r:id="rId31">
        <w:r>
          <w:rPr>
            <w:rStyle w:val="Hyperlink"/>
            <w:rFonts w:eastAsia="Aptos"/>
            <w:kern w:val="0"/>
            <w:lang w:val="en-US"/>
            <w14:ligatures w14:val="none"/>
          </w:rPr>
          <w:t>https://ec.europa.eu/eurostat/statistics-explained/index.php/Passenger_cars_in_the_EU</w:t>
        </w:r>
      </w:hyperlink>
    </w:p>
    <w:p>
      <w:pPr>
        <w:pStyle w:val="Normal"/>
        <w:spacing w:lineRule="auto" w:line="240" w:before="80" w:after="120"/>
        <w:contextualSpacing/>
        <w:rPr>
          <w:rFonts w:eastAsia="Aptos"/>
          <w:kern w:val="0"/>
          <w:lang w:val="en-US"/>
          <w14:ligatures w14:val="none"/>
        </w:rPr>
      </w:pPr>
      <w:r>
        <w:rPr>
          <w:rFonts w:eastAsia="Aptos"/>
          <w:kern w:val="0"/>
          <w:lang w:val="en-US"/>
          <w14:ligatures w14:val="none"/>
        </w:rPr>
      </w:r>
    </w:p>
    <w:p>
      <w:pPr>
        <w:pStyle w:val="Normal"/>
        <w:spacing w:lineRule="auto" w:line="240" w:before="80" w:after="120"/>
        <w:contextualSpacing/>
        <w:rPr>
          <w:rFonts w:eastAsia="Aptos"/>
          <w:i/>
          <w:iCs/>
          <w:kern w:val="0"/>
          <w:lang w:val="en-US"/>
          <w14:ligatures w14:val="none"/>
        </w:rPr>
      </w:pPr>
      <w:r>
        <w:rPr>
          <w:rFonts w:eastAsia="Aptos"/>
          <w:kern w:val="0"/>
          <w:lang w:val="en-US"/>
          <w14:ligatures w14:val="none"/>
        </w:rPr>
        <w:t xml:space="preserve">[Author(s) not specified]. (n.d.). </w:t>
      </w:r>
      <w:r>
        <w:rPr>
          <w:rFonts w:eastAsia="Aptos"/>
          <w:i/>
          <w:iCs/>
          <w:kern w:val="0"/>
          <w:lang w:val="en-US"/>
          <w14:ligatures w14:val="none"/>
        </w:rPr>
        <w:t xml:space="preserve">Transportation Development Study for the Thessaloniki Metro. </w:t>
      </w:r>
    </w:p>
    <w:p>
      <w:pPr>
        <w:pStyle w:val="Normal"/>
        <w:spacing w:lineRule="auto" w:line="240" w:before="80" w:after="120"/>
        <w:contextualSpacing/>
        <w:rPr>
          <w:rFonts w:eastAsia="Aptos"/>
          <w:kern w:val="0"/>
          <w:lang w:val="en-US"/>
          <w14:ligatures w14:val="none"/>
        </w:rPr>
      </w:pPr>
      <w:r>
        <w:rPr>
          <w:rFonts w:eastAsia="Aptos"/>
          <w:kern w:val="0"/>
          <w:lang w:val="en-US"/>
          <w14:ligatures w14:val="none"/>
        </w:rPr>
      </w:r>
    </w:p>
    <w:p>
      <w:pPr>
        <w:pStyle w:val="Normal"/>
        <w:spacing w:lineRule="auto" w:line="240" w:before="80" w:after="120"/>
        <w:contextualSpacing/>
        <w:rPr>
          <w:rFonts w:eastAsia="Aptos"/>
          <w:kern w:val="0"/>
          <w:lang w:val="en-US"/>
          <w14:ligatures w14:val="none"/>
        </w:rPr>
      </w:pPr>
      <w:r>
        <w:rPr>
          <w:rFonts w:eastAsia="Aptos"/>
          <w:kern w:val="0"/>
          <w:lang w:val="de-DE"/>
          <w14:ligatures w14:val="none"/>
        </w:rPr>
        <w:t xml:space="preserve">Kehlbacher, A., Rybczak, G., Rauch, F., &amp; Hellekes, J.. </w:t>
      </w:r>
      <w:r>
        <w:rPr>
          <w:rFonts w:eastAsia="Aptos"/>
          <w:kern w:val="0"/>
          <w:lang w:val="en-US"/>
          <w14:ligatures w14:val="none"/>
        </w:rPr>
        <w:t xml:space="preserve">(2025). Estimating Parking Search Times for Transport Modelling in Europe: A Hierarchical Bayes Approach with Cross-Regional Data Integration. hEART 2025 – 13th Symposium of the European Association for Research in Transportation, Munich, Germany. </w:t>
      </w:r>
      <w:hyperlink r:id="rId32">
        <w:r>
          <w:rPr>
            <w:rStyle w:val="Hyperlink"/>
            <w:rFonts w:eastAsia="Aptos"/>
            <w:kern w:val="0"/>
            <w:lang w:val="en-US"/>
            <w14:ligatures w14:val="none"/>
          </w:rPr>
          <w:t>https://www.researchgate.net/publication/392778310_Estimating_Parking_Search_Times_for_Transport_Modelling_in_Europe_A_Hierarchical_Bayes_Approach_with_Cross-Regional_Data_Integration</w:t>
        </w:r>
      </w:hyperlink>
    </w:p>
    <w:p>
      <w:pPr>
        <w:pStyle w:val="Normal"/>
        <w:spacing w:lineRule="auto" w:line="240" w:before="80" w:after="120"/>
        <w:contextualSpacing/>
        <w:rPr>
          <w:rFonts w:eastAsia="Aptos"/>
          <w:kern w:val="0"/>
          <w:lang w:val="en-US"/>
          <w14:ligatures w14:val="none"/>
        </w:rPr>
      </w:pPr>
      <w:r>
        <w:rPr>
          <w:rFonts w:eastAsia="Aptos"/>
          <w:kern w:val="0"/>
          <w:lang w:val="en-US"/>
          <w14:ligatures w14:val="none"/>
        </w:rPr>
      </w:r>
    </w:p>
    <w:p>
      <w:pPr>
        <w:pStyle w:val="Normal"/>
        <w:spacing w:lineRule="auto" w:line="240" w:before="80" w:after="120"/>
        <w:contextualSpacing/>
        <w:rPr>
          <w:rFonts w:eastAsia="Aptos"/>
          <w:kern w:val="0"/>
          <w14:ligatures w14:val="none"/>
        </w:rPr>
      </w:pPr>
      <w:r>
        <w:rPr>
          <w:rFonts w:eastAsia="Aptos"/>
          <w:kern w:val="0"/>
          <w:lang w:val="en-US"/>
          <w14:ligatures w14:val="none"/>
        </w:rPr>
        <w:t xml:space="preserve">CE Delft / Ricardo. (2019). </w:t>
      </w:r>
      <w:r>
        <w:rPr>
          <w:rFonts w:eastAsia="Aptos"/>
          <w:i/>
          <w:iCs/>
          <w:kern w:val="0"/>
          <w:lang w:val="en-US"/>
          <w14:ligatures w14:val="none"/>
        </w:rPr>
        <w:t xml:space="preserve">Handbook on the External Costs of Transport, Version 2019 – 1.1. </w:t>
      </w:r>
      <w:r>
        <w:rPr>
          <w:rFonts w:eastAsia="Aptos"/>
          <w:kern w:val="0"/>
          <w:lang w:val="en-US"/>
          <w14:ligatures w14:val="none"/>
        </w:rPr>
        <w:t xml:space="preserve">European Commission, DG MOVE. </w:t>
      </w:r>
      <w:hyperlink r:id="rId33">
        <w:r>
          <w:rPr>
            <w:rStyle w:val="Hyperlink"/>
            <w:rFonts w:eastAsia="Aptos"/>
            <w:kern w:val="0"/>
            <w:lang w:val="en-US"/>
            <w14:ligatures w14:val="none"/>
          </w:rPr>
          <w:t>https://www.infras.ch/media/filer_public/fc316665-e114-4514-bbca-ede593d2290f/ce_delft_4k83_task_d_summary_report.pdf</w:t>
        </w:r>
      </w:hyperlink>
    </w:p>
    <w:p>
      <w:pPr>
        <w:pStyle w:val="Normal"/>
        <w:spacing w:lineRule="auto" w:line="240" w:before="80" w:after="120"/>
        <w:contextualSpacing/>
        <w:rPr>
          <w:rFonts w:eastAsia="Aptos"/>
          <w:kern w:val="0"/>
          <w:lang w:val="en-US"/>
          <w14:ligatures w14:val="none"/>
        </w:rPr>
      </w:pPr>
      <w:r>
        <w:rPr>
          <w:rFonts w:eastAsia="Aptos"/>
          <w:kern w:val="0"/>
          <w:lang w:val="en-US"/>
          <w14:ligatures w14:val="none"/>
        </w:rPr>
      </w:r>
    </w:p>
    <w:p>
      <w:pPr>
        <w:pStyle w:val="Normal"/>
        <w:spacing w:lineRule="auto" w:line="240" w:before="80" w:after="120"/>
        <w:contextualSpacing/>
        <w:rPr>
          <w:rFonts w:eastAsia="Aptos"/>
          <w:kern w:val="0"/>
          <w14:ligatures w14:val="none"/>
        </w:rPr>
      </w:pPr>
      <w:r>
        <w:rPr>
          <w:rFonts w:eastAsia="Aptos"/>
          <w:kern w:val="0"/>
          <w:lang w:val="en-US"/>
          <w14:ligatures w14:val="none"/>
        </w:rPr>
        <w:t xml:space="preserve">Muncrief, R.. (2017). </w:t>
      </w:r>
      <w:r>
        <w:rPr>
          <w:rFonts w:eastAsia="Aptos"/>
          <w:i/>
          <w:iCs/>
          <w:kern w:val="0"/>
          <w:lang w:val="en-US"/>
          <w14:ligatures w14:val="none"/>
        </w:rPr>
        <w:t xml:space="preserve">Euro VI versus Euro 6: Differences in Real-World Effectiveness. </w:t>
      </w:r>
      <w:r>
        <w:rPr>
          <w:rFonts w:eastAsia="Aptos"/>
          <w:kern w:val="0"/>
          <w:lang w:val="en-US"/>
          <w14:ligatures w14:val="none"/>
        </w:rPr>
        <w:t xml:space="preserve">International Council on Clean Transportation (ICCT). </w:t>
      </w:r>
      <w:hyperlink r:id="rId34">
        <w:r>
          <w:rPr>
            <w:rStyle w:val="Hyperlink"/>
            <w:rFonts w:eastAsia="Aptos"/>
            <w:kern w:val="0"/>
            <w:lang w:val="en-US"/>
            <w14:ligatures w14:val="none"/>
          </w:rPr>
          <w:t>https://theicct.org/sites/default/files/publications/Euro-VI-versus-6_ICCT_briefing_06012017.pdf</w:t>
        </w:r>
      </w:hyperlink>
    </w:p>
    <w:p>
      <w:pPr>
        <w:pStyle w:val="Normal"/>
        <w:spacing w:lineRule="auto" w:line="240" w:before="80" w:after="120"/>
        <w:contextualSpacing/>
        <w:rPr>
          <w:rFonts w:eastAsia="Aptos"/>
          <w:kern w:val="0"/>
          <w:lang w:val="en-US"/>
          <w14:ligatures w14:val="none"/>
        </w:rPr>
      </w:pPr>
      <w:r>
        <w:rPr>
          <w:rFonts w:eastAsia="Aptos"/>
          <w:kern w:val="0"/>
          <w:lang w:val="en-US"/>
          <w14:ligatures w14:val="none"/>
        </w:rPr>
      </w:r>
    </w:p>
    <w:p>
      <w:pPr>
        <w:pStyle w:val="Normal"/>
        <w:spacing w:lineRule="auto" w:line="240" w:before="80" w:after="120"/>
        <w:contextualSpacing/>
        <w:rPr>
          <w:rFonts w:eastAsia="Aptos"/>
          <w:kern w:val="0"/>
          <w:lang w:val="en-US"/>
          <w14:ligatures w14:val="none"/>
        </w:rPr>
      </w:pPr>
      <w:r>
        <w:rPr>
          <w:rFonts w:eastAsia="Aptos"/>
          <w:kern w:val="0"/>
          <w:lang w:val="en-US"/>
          <w14:ligatures w14:val="none"/>
        </w:rPr>
        <w:t xml:space="preserve">Car and Motor. (n.d.). </w:t>
      </w:r>
      <w:r>
        <w:rPr>
          <w:rFonts w:eastAsia="Aptos"/>
          <w:i/>
          <w:iCs/>
          <w:kern w:val="0"/>
          <w:lang w:val="en-US"/>
          <w14:ligatures w14:val="none"/>
        </w:rPr>
        <w:t xml:space="preserve">Αυξήθηκαν οι μέσες εκπομπές CO₂ στην Ελλάδα [Average CO₂ Emissions in Greece Have Increased]. </w:t>
      </w:r>
      <w:r>
        <w:rPr>
          <w:rFonts w:eastAsia="Aptos"/>
          <w:kern w:val="0"/>
          <w:lang w:val="en-US"/>
          <w14:ligatures w14:val="none"/>
        </w:rPr>
        <w:t xml:space="preserve">carandmotor.gr. </w:t>
      </w:r>
      <w:hyperlink r:id="rId35">
        <w:r>
          <w:rPr>
            <w:rStyle w:val="Hyperlink"/>
            <w:rFonts w:eastAsia="Aptos"/>
            <w:kern w:val="0"/>
            <w:lang w:val="en-US"/>
            <w14:ligatures w14:val="none"/>
          </w:rPr>
          <w:t>https://www.carandmotor.gr/nea/ayxithikan-oi-meses-ekpompes-co2-stin-ellada</w:t>
        </w:r>
      </w:hyperlink>
    </w:p>
    <w:p>
      <w:pPr>
        <w:pStyle w:val="Normal"/>
        <w:spacing w:lineRule="auto" w:line="240" w:before="80" w:after="120"/>
        <w:contextualSpacing/>
        <w:rPr>
          <w:rFonts w:eastAsia="Aptos"/>
          <w:kern w:val="0"/>
          <w:sz w:val="16"/>
          <w:szCs w:val="16"/>
          <w:lang w:val="en-US"/>
          <w14:ligatures w14:val="none"/>
        </w:rPr>
      </w:pPr>
      <w:r>
        <w:rPr>
          <w:rFonts w:eastAsia="Aptos"/>
          <w:kern w:val="0"/>
          <w:sz w:val="16"/>
          <w:szCs w:val="16"/>
          <w:lang w:val="en-US"/>
          <w14:ligatures w14:val="none"/>
        </w:rPr>
      </w:r>
    </w:p>
    <w:sectPr>
      <w:headerReference w:type="even" r:id="rId36"/>
      <w:headerReference w:type="default" r:id="rId37"/>
      <w:headerReference w:type="first" r:id="rId38"/>
      <w:footerReference w:type="even" r:id="rId39"/>
      <w:footerReference w:type="default" r:id="rId40"/>
      <w:footerReference w:type="first" r:id="rId41"/>
      <w:type w:val="nextPage"/>
      <w:pgSz w:w="12240" w:h="15840"/>
      <w:pgMar w:left="1440" w:right="1440" w:gutter="0" w:header="720" w:top="1440" w:footer="720" w:bottom="1440"/>
      <w:pgNumType w:fmt="decimal"/>
      <w:formProt w:val="false"/>
      <w:titlePg/>
      <w:textDirection w:val="lrTb"/>
      <w:docGrid w:type="default" w:linePitch="360"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Vassilis Mizaras" w:date="2026-02-28T12:19:00Z" w:initials="VM">
    <w:p w14:paraId="01000000">
      <w:pPr>
        <w:overflowPunct w:val="false"/>
        <w:spacing w:before="0" w:after="0" w:lineRule="auto" w:line="240"/>
        <w:jc w:val="start"/>
        <w:rPr/>
      </w:pPr>
      <w:r>
        <w:annotationRef/>
      </w:r>
      <w:r>
        <w:rPr>
          <w:rFonts w:eastAsia="Aptos" w:ascii="Aptos" w:hAnsi="Aptos" w:cs="Arial"/>
          <w:sz w:val="24"/>
          <w:szCs w:val="24"/>
          <w:lang w:val="en-US"/>
        </w:rPr>
        <w:t>@Ptzenos Ο Ανδρέας παρατηρει ότι δεν υπάρχει αναφορά σε shared mobility data</w:t>
      </w:r>
    </w:p>
  </w:comment>
  <w:comment w:id="1" w:author="Vassilis Mizaras" w:date="2026-02-28T12:23:00Z" w:initials="VM">
    <w:p>
      <w:pPr>
        <w:overflowPunct w:val="false"/>
        <w:spacing w:before="0" w:after="0" w:lineRule="auto" w:line="240"/>
        <w:jc w:val="start"/>
        <w:rPr/>
      </w:pPr>
      <w:r>
        <w:annotationRef/>
      </w:r>
      <w:r>
        <w:rPr>
          <w:rFonts w:eastAsia="Aptos" w:ascii="Aptos" w:hAnsi="Aptos" w:cs="Arial"/>
          <w:sz w:val="24"/>
          <w:szCs w:val="24"/>
          <w:lang w:val="en-US"/>
        </w:rPr>
        <w:t>@PTzenos Μπορούμε να βάλουμε park &amp; ride parking stations ως σημεία μετεπιβίβασης ώστε να δημιουργούνται αλυσίδες ταξιδιού με διαφορετικά μέσα? Όπως καταλαβαίνω ότι γίνεται στο UPPER με τα shared mobility pickup/drop off points. Ποια θα ήταν η επιπλοκή σε αυτή την περιπτωση;</w:t>
      </w:r>
    </w:p>
    <w:p w14:paraId="02000000">
      <w:pPr>
        <w:overflowPunct w:val="false"/>
        <w:spacing w:before="0" w:after="0" w:lineRule="auto" w:line="240"/>
        <w:jc w:val="start"/>
        <w:rPr/>
      </w:pPr>
      <w:r>
        <w:rPr>
          <w:rFonts w:eastAsia="Aptos" w:ascii="Aptos" w:hAnsi="Aptos" w:cs="Arial"/>
          <w:sz w:val="24"/>
          <w:szCs w:val="24"/>
          <w:lang w:val="en-US"/>
        </w:rPr>
        <w:t xml:space="preserve">Μόνο 2 σημεία πάρκινγ θέλω να  προσθέσω: Νεα Ελβετία &amp; Νέο σιδηροδρομικό σταθμό. Η μετεπιβίβαση αφορά και αυτοκίνητο και ποδήλατο μόνο προς ΜΕΤΡΟ  </w:t>
      </w:r>
    </w:p>
  </w:comment>
  <w:comment w:id="2" w:author="Vassilis Mizaras" w:date="2026-02-28T12:26:00Z" w:initials="VM">
    <w:p w14:paraId="03000000">
      <w:pPr>
        <w:overflowPunct w:val="false"/>
        <w:spacing w:before="0" w:after="0" w:lineRule="auto" w:line="240"/>
        <w:jc w:val="start"/>
        <w:rPr/>
      </w:pPr>
      <w:r>
        <w:annotationRef/>
      </w:r>
      <w:r>
        <w:rPr>
          <w:rFonts w:eastAsia="Aptos" w:ascii="Aptos" w:hAnsi="Aptos" w:cs="Arial"/>
          <w:sz w:val="24"/>
          <w:szCs w:val="24"/>
          <w:lang w:val="en-US"/>
        </w:rPr>
        <w:t>@PTzenos Αυτό το εφαρμόζουμε μόνο για προορισμούς στο κέντρο της Θεσσαλονίκης, σωστά;</w:t>
      </w:r>
    </w:p>
  </w:comment>
</w:comments>
</file>

<file path=word/commentsExtended.xml><?xml version="1.0" encoding="utf-8"?>
<w15:commentsEx xmlns:mc="http://schemas.openxmlformats.org/markup-compatibility/2006" xmlns:w15="http://schemas.microsoft.com/office/word/2012/wordml" mc:Ignorable="w15">
  <w15:commentEx w15:paraId="01000000" w15:done="1"/>
  <w15:commentEx w15:paraId="02000000" w15:done="1"/>
  <w15:commentEx w15:paraId="03000000" w15:done="1"/>
</w15:commentsEx>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Calibri">
    <w:charset w:val="00" w:characterSet="windows-1252"/>
    <w:family w:val="swiss"/>
    <w:pitch w:val="variable"/>
  </w:font>
  <w:font w:name="Aptos Display">
    <w:charset w:val="00" w:characterSet="windows-1252"/>
    <w:family w:val="roman"/>
    <w:pitch w:val="variable"/>
  </w:font>
  <w:font w:name="Liberation Sans">
    <w:altName w:val="Arial"/>
    <w:charset w:val="00" w:characterSet="windows-1252"/>
    <w:family w:val="swiss"/>
    <w:pitch w:val="variable"/>
  </w:font>
  <w:font w:name="Aptos Display">
    <w:charset w:val="00" w:characterSet="windows-1252"/>
    <w:family w:val="swiss"/>
    <w:pitch w:val="variable"/>
  </w:font>
  <w:font w:name="Aptos">
    <w:charset w:val="00" w:characterSet="windows-1252"/>
    <w:family w:val="swiss"/>
    <w:pitch w:val="variable"/>
  </w:font>
  <w:font w:name="Cambria Math">
    <w:charset w:val="00" w:characterSet="windows-1252"/>
    <w:family w:val="roman"/>
    <w:pitch w:val="variable"/>
  </w:font>
  <w:font w:name="Aptos">
    <w:charset w:val="01"/>
    <w:family w:val="auto"/>
    <w:pitch w:val="default"/>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80" w:after="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586963474"/>
      <w:docPartObj>
        <w:docPartGallery w:val="Page Numbers (Bottom of Page)"/>
        <w:docPartUnique w:val="true"/>
      </w:docPartObj>
    </w:sdtPr>
    <w:sdtContent>
      <w:p>
        <w:pPr>
          <w:pStyle w:val="Footer"/>
          <w:spacing w:before="80" w:after="0"/>
          <w:jc w:val="end"/>
          <w:rPr/>
        </w:pPr>
        <w:r>
          <w:rPr/>
          <w:fldChar w:fldCharType="begin"/>
        </w:r>
        <w:r>
          <w:rPr/>
          <w:instrText xml:space="preserve"> PAGE </w:instrText>
        </w:r>
        <w:r>
          <w:rPr/>
          <w:fldChar w:fldCharType="separate"/>
        </w:r>
        <w:r>
          <w:rPr/>
          <w:t>40</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80" w:after="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80" w:after="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80" w:after="0"/>
      <w:rPr/>
    </w:pPr>
    <w:r>
      <w:rPr/>
      <w:drawing>
        <wp:anchor distT="0" distB="0" distL="114300" distR="114300" simplePos="0" relativeHeight="55" behindDoc="1" locked="0" layoutInCell="0" allowOverlap="1">
          <wp:simplePos x="0" y="0"/>
          <wp:positionH relativeFrom="column">
            <wp:posOffset>5629275</wp:posOffset>
          </wp:positionH>
          <wp:positionV relativeFrom="paragraph">
            <wp:posOffset>-342900</wp:posOffset>
          </wp:positionV>
          <wp:extent cx="714375" cy="714375"/>
          <wp:effectExtent l="0" t="0" r="0" b="0"/>
          <wp:wrapSquare wrapText="bothSides"/>
          <wp:docPr id="20"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6"/>
                  <pic:cNvPicPr>
                    <a:picLocks noChangeAspect="1" noChangeArrowheads="1"/>
                  </pic:cNvPicPr>
                </pic:nvPicPr>
                <pic:blipFill>
                  <a:blip r:embed="rId1"/>
                  <a:stretch>
                    <a:fillRect/>
                  </a:stretch>
                </pic:blipFill>
                <pic:spPr bwMode="auto">
                  <a:xfrm>
                    <a:off x="0" y="0"/>
                    <a:ext cx="714375" cy="71437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80" w:after="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decimal"/>
      <w:lvlText w:val="•"/>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bullet"/>
      <w:lvlText w:val="-"/>
      <w:lvlJc w:val="start"/>
      <w:pPr>
        <w:tabs>
          <w:tab w:val="num" w:pos="0"/>
        </w:tabs>
        <w:ind w:start="720" w:hanging="360"/>
      </w:pPr>
      <w:rPr>
        <w:rFonts w:ascii="Aptos" w:hAnsi="Aptos" w:cs="Apto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720" w:hanging="360"/>
      </w:pPr>
      <w:rPr>
        <w:rFonts w:ascii="Aptos" w:hAnsi="Aptos" w:cs="Apto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7">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9">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1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5">
    <w:lvl w:ilvl="0">
      <w:start w:val="1"/>
      <w:numFmt w:val="bullet"/>
      <w:lvlText w:val=""/>
      <w:lvlJc w:val="start"/>
      <w:pPr>
        <w:tabs>
          <w:tab w:val="num" w:pos="0"/>
        </w:tabs>
        <w:ind w:start="947" w:hanging="360"/>
      </w:pPr>
      <w:rPr>
        <w:rFonts w:ascii="Symbol" w:hAnsi="Symbol" w:cs="Symbol" w:hint="default"/>
      </w:rPr>
    </w:lvl>
    <w:lvl w:ilvl="1">
      <w:start w:val="1"/>
      <w:numFmt w:val="bullet"/>
      <w:lvlText w:val="o"/>
      <w:lvlJc w:val="start"/>
      <w:pPr>
        <w:tabs>
          <w:tab w:val="num" w:pos="0"/>
        </w:tabs>
        <w:ind w:start="1667" w:hanging="360"/>
      </w:pPr>
      <w:rPr>
        <w:rFonts w:ascii="Courier New" w:hAnsi="Courier New" w:cs="Courier New" w:hint="default"/>
      </w:rPr>
    </w:lvl>
    <w:lvl w:ilvl="2">
      <w:start w:val="1"/>
      <w:numFmt w:val="bullet"/>
      <w:lvlText w:val=""/>
      <w:lvlJc w:val="start"/>
      <w:pPr>
        <w:tabs>
          <w:tab w:val="num" w:pos="0"/>
        </w:tabs>
        <w:ind w:start="2387" w:hanging="360"/>
      </w:pPr>
      <w:rPr>
        <w:rFonts w:ascii="Wingdings" w:hAnsi="Wingdings" w:cs="Wingdings" w:hint="default"/>
      </w:rPr>
    </w:lvl>
    <w:lvl w:ilvl="3">
      <w:start w:val="1"/>
      <w:numFmt w:val="bullet"/>
      <w:lvlText w:val=""/>
      <w:lvlJc w:val="start"/>
      <w:pPr>
        <w:tabs>
          <w:tab w:val="num" w:pos="0"/>
        </w:tabs>
        <w:ind w:start="3107" w:hanging="360"/>
      </w:pPr>
      <w:rPr>
        <w:rFonts w:ascii="Symbol" w:hAnsi="Symbol" w:cs="Symbol" w:hint="default"/>
      </w:rPr>
    </w:lvl>
    <w:lvl w:ilvl="4">
      <w:start w:val="1"/>
      <w:numFmt w:val="bullet"/>
      <w:lvlText w:val="o"/>
      <w:lvlJc w:val="start"/>
      <w:pPr>
        <w:tabs>
          <w:tab w:val="num" w:pos="0"/>
        </w:tabs>
        <w:ind w:start="3827" w:hanging="360"/>
      </w:pPr>
      <w:rPr>
        <w:rFonts w:ascii="Courier New" w:hAnsi="Courier New" w:cs="Courier New" w:hint="default"/>
      </w:rPr>
    </w:lvl>
    <w:lvl w:ilvl="5">
      <w:start w:val="1"/>
      <w:numFmt w:val="bullet"/>
      <w:lvlText w:val=""/>
      <w:lvlJc w:val="start"/>
      <w:pPr>
        <w:tabs>
          <w:tab w:val="num" w:pos="0"/>
        </w:tabs>
        <w:ind w:start="4547" w:hanging="360"/>
      </w:pPr>
      <w:rPr>
        <w:rFonts w:ascii="Wingdings" w:hAnsi="Wingdings" w:cs="Wingdings" w:hint="default"/>
      </w:rPr>
    </w:lvl>
    <w:lvl w:ilvl="6">
      <w:start w:val="1"/>
      <w:numFmt w:val="bullet"/>
      <w:lvlText w:val=""/>
      <w:lvlJc w:val="start"/>
      <w:pPr>
        <w:tabs>
          <w:tab w:val="num" w:pos="0"/>
        </w:tabs>
        <w:ind w:start="5267" w:hanging="360"/>
      </w:pPr>
      <w:rPr>
        <w:rFonts w:ascii="Symbol" w:hAnsi="Symbol" w:cs="Symbol" w:hint="default"/>
      </w:rPr>
    </w:lvl>
    <w:lvl w:ilvl="7">
      <w:start w:val="1"/>
      <w:numFmt w:val="bullet"/>
      <w:lvlText w:val="o"/>
      <w:lvlJc w:val="start"/>
      <w:pPr>
        <w:tabs>
          <w:tab w:val="num" w:pos="0"/>
        </w:tabs>
        <w:ind w:start="5987" w:hanging="360"/>
      </w:pPr>
      <w:rPr>
        <w:rFonts w:ascii="Courier New" w:hAnsi="Courier New" w:cs="Courier New" w:hint="default"/>
      </w:rPr>
    </w:lvl>
    <w:lvl w:ilvl="8">
      <w:start w:val="1"/>
      <w:numFmt w:val="bullet"/>
      <w:lvlText w:val=""/>
      <w:lvlJc w:val="start"/>
      <w:pPr>
        <w:tabs>
          <w:tab w:val="num" w:pos="0"/>
        </w:tabs>
        <w:ind w:start="6707" w:hanging="360"/>
      </w:pPr>
      <w:rPr>
        <w:rFonts w:ascii="Wingdings" w:hAnsi="Wingdings" w:cs="Wingdings" w:hint="default"/>
      </w:rPr>
    </w:lvl>
  </w:abstractNum>
  <w:abstractNum w:abstractNumId="16">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0">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Arial"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312e"/>
    <w:pPr>
      <w:widowControl/>
      <w:bidi w:val="0"/>
      <w:spacing w:lineRule="auto" w:line="278" w:before="80" w:after="120"/>
      <w:jc w:val="both"/>
    </w:pPr>
    <w:rPr>
      <w:rFonts w:ascii="Calibri" w:hAnsi="Calibri" w:eastAsia="Calibri" w:cs="Calibri"/>
      <w:color w:val="auto"/>
      <w:kern w:val="2"/>
      <w:sz w:val="22"/>
      <w:szCs w:val="22"/>
      <w:lang w:val="en-GB" w:eastAsia="en-US" w:bidi="ar-SA"/>
      <w14:ligatures w14:val="standardContextual"/>
    </w:rPr>
  </w:style>
  <w:style w:type="paragraph" w:styleId="Heading1">
    <w:name w:val="heading 1"/>
    <w:basedOn w:val="Normal"/>
    <w:next w:val="Normal"/>
    <w:link w:val="Heading1Char"/>
    <w:uiPriority w:val="9"/>
    <w:qFormat/>
    <w:rsid w:val="536ac172"/>
    <w:pPr>
      <w:tabs>
        <w:tab w:val="clear" w:pos="720"/>
        <w:tab w:val="right" w:pos="9060" w:leader="dot"/>
      </w:tabs>
      <w:spacing w:lineRule="auto" w:line="240" w:before="80" w:after="480"/>
      <w:ind w:hanging="431" w:start="431"/>
      <w:outlineLvl w:val="0"/>
    </w:pPr>
    <w:rPr>
      <w:b/>
      <w:bCs/>
      <w:color w:themeColor="accent1" w:themeShade="bf" w:val="0F4761"/>
    </w:rPr>
  </w:style>
  <w:style w:type="paragraph" w:styleId="Heading2">
    <w:name w:val="heading 2"/>
    <w:basedOn w:val="Heading1"/>
    <w:next w:val="Normal"/>
    <w:link w:val="Heading2Char"/>
    <w:uiPriority w:val="9"/>
    <w:unhideWhenUsed/>
    <w:qFormat/>
    <w:rsid w:val="00fe0248"/>
    <w:pPr>
      <w:outlineLvl w:val="1"/>
    </w:pPr>
    <w:rPr/>
  </w:style>
  <w:style w:type="paragraph" w:styleId="Heading3">
    <w:name w:val="heading 3"/>
    <w:basedOn w:val="Normal"/>
    <w:next w:val="Normal"/>
    <w:link w:val="Heading3Char"/>
    <w:uiPriority w:val="9"/>
    <w:unhideWhenUsed/>
    <w:qFormat/>
    <w:rsid w:val="536ac172"/>
    <w:pPr>
      <w:keepNext w:val="true"/>
      <w:keepLines/>
      <w:spacing w:lineRule="auto" w:line="276" w:before="80" w:after="180"/>
      <w:ind w:hanging="720" w:start="1430"/>
      <w:outlineLvl w:val="2"/>
    </w:pPr>
    <w:rPr>
      <w:rFonts w:eastAsia="游ゴシック Light" w:eastAsiaTheme="majorEastAsia"/>
      <w:b/>
      <w:bCs/>
      <w:color w:themeColor="text2" w:themeTint="80" w:val="4C94D8"/>
    </w:rPr>
  </w:style>
  <w:style w:type="paragraph" w:styleId="Heading4">
    <w:name w:val="heading 4"/>
    <w:basedOn w:val="Normal"/>
    <w:next w:val="Normal"/>
    <w:link w:val="Heading4Char"/>
    <w:uiPriority w:val="9"/>
    <w:semiHidden/>
    <w:unhideWhenUsed/>
    <w:qFormat/>
    <w:rsid w:val="536ac172"/>
    <w:pPr>
      <w:keepNext w:val="true"/>
      <w:keepLines/>
      <w:spacing w:before="80" w:after="40"/>
      <w:outlineLvl w:val="3"/>
    </w:pPr>
    <w:rPr>
      <w:rFonts w:eastAsia="游ゴシック Light" w:cs="Times New Roman"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536ac172"/>
    <w:pPr>
      <w:keepNext w:val="true"/>
      <w:keepLines/>
      <w:spacing w:before="80" w:after="40"/>
      <w:outlineLvl w:val="4"/>
    </w:pPr>
    <w:rPr>
      <w:rFonts w:eastAsia="游ゴシック Light" w:cs="Times New Roman"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536ac172"/>
    <w:pPr>
      <w:keepNext w:val="true"/>
      <w:keepLines/>
      <w:spacing w:before="40" w:after="0"/>
      <w:outlineLvl w:val="5"/>
    </w:pPr>
    <w:rPr>
      <w:rFonts w:eastAsia="游ゴシック Light" w:cs="Times New Roman"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536ac172"/>
    <w:pPr>
      <w:keepNext w:val="true"/>
      <w:keepLines/>
      <w:spacing w:before="40" w:after="0"/>
      <w:outlineLvl w:val="6"/>
    </w:pPr>
    <w:rPr>
      <w:rFonts w:eastAsia="游ゴシック Light" w:cs="Times New Roman"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536ac172"/>
    <w:pPr>
      <w:keepNext w:val="true"/>
      <w:keepLines/>
      <w:spacing w:before="80" w:after="0"/>
      <w:outlineLvl w:val="7"/>
    </w:pPr>
    <w:rPr>
      <w:rFonts w:eastAsia="游ゴシック Light" w:cs="Times New Roman" w:cstheme="majorBidi" w:eastAsiaTheme="majorEastAsia"/>
      <w:i/>
      <w:iCs/>
      <w:color w:val="272727"/>
    </w:rPr>
  </w:style>
  <w:style w:type="paragraph" w:styleId="Heading9">
    <w:name w:val="heading 9"/>
    <w:basedOn w:val="Normal"/>
    <w:next w:val="Normal"/>
    <w:link w:val="Heading9Char"/>
    <w:uiPriority w:val="9"/>
    <w:semiHidden/>
    <w:unhideWhenUsed/>
    <w:qFormat/>
    <w:rsid w:val="536ac172"/>
    <w:pPr>
      <w:keepNext w:val="true"/>
      <w:keepLines/>
      <w:spacing w:before="80" w:after="0"/>
      <w:outlineLvl w:val="8"/>
    </w:pPr>
    <w:rPr>
      <w:rFonts w:eastAsia="游ゴシック Light" w:cs="Times New Roman" w:cstheme="majorBidi" w:eastAsiaTheme="majorEastAsia"/>
      <w:color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26c45"/>
    <w:rPr>
      <w:rFonts w:ascii="Arial" w:hAnsi="Arial" w:cs="Arial"/>
      <w:b/>
      <w:bCs/>
      <w:color w:themeColor="accent1" w:themeShade="bf" w:val="0F4761"/>
      <w:kern w:val="0"/>
      <w14:ligatures w14:val="none"/>
    </w:rPr>
  </w:style>
  <w:style w:type="character" w:styleId="Heading2Char" w:customStyle="1">
    <w:name w:val="Heading 2 Char"/>
    <w:basedOn w:val="DefaultParagraphFont"/>
    <w:link w:val="Heading2"/>
    <w:uiPriority w:val="9"/>
    <w:qFormat/>
    <w:rsid w:val="00fe0248"/>
    <w:rPr>
      <w:rFonts w:ascii="Arial" w:hAnsi="Arial" w:eastAsia="Calibri" w:cs="Arial"/>
      <w:b/>
      <w:bCs/>
      <w:color w:themeColor="accent1" w:themeShade="bf" w:val="0F4761"/>
      <w:kern w:val="0"/>
      <w:sz w:val="22"/>
      <w:szCs w:val="22"/>
      <w:lang w:val="en-GB"/>
      <w14:ligatures w14:val="none"/>
    </w:rPr>
  </w:style>
  <w:style w:type="character" w:styleId="Heading3Char" w:customStyle="1">
    <w:name w:val="Heading 3 Char"/>
    <w:basedOn w:val="DefaultParagraphFont"/>
    <w:link w:val="Heading3"/>
    <w:uiPriority w:val="9"/>
    <w:qFormat/>
    <w:rsid w:val="00f26c45"/>
    <w:rPr>
      <w:rFonts w:ascii="Arial" w:hAnsi="Arial" w:eastAsia="游ゴシック Light" w:cs="Arial" w:eastAsiaTheme="majorEastAsia"/>
      <w:b/>
      <w:color w:themeColor="text2" w:themeTint="80" w:val="4C94D8"/>
      <w:kern w:val="0"/>
      <w:sz w:val="22"/>
      <w:szCs w:val="22"/>
      <w14:ligatures w14:val="none"/>
    </w:rPr>
  </w:style>
  <w:style w:type="character" w:styleId="Heading4Char" w:customStyle="1">
    <w:name w:val="Heading 4 Char"/>
    <w:basedOn w:val="DefaultParagraphFont"/>
    <w:link w:val="Heading4"/>
    <w:uiPriority w:val="9"/>
    <w:semiHidden/>
    <w:qFormat/>
    <w:rsid w:val="007107fe"/>
    <w:rPr>
      <w:rFonts w:eastAsia="游ゴシック Light" w:cs="Times New Roman"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7107fe"/>
    <w:rPr>
      <w:rFonts w:eastAsia="游ゴシック Light" w:cs="Times New Roman"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7107fe"/>
    <w:rPr>
      <w:rFonts w:eastAsia="游ゴシック Light" w:cs="Times New Roman"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7107fe"/>
    <w:rPr>
      <w:rFonts w:eastAsia="游ゴシック Light" w:cs="Times New Roman"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7107fe"/>
    <w:rPr>
      <w:rFonts w:eastAsia="游ゴシック Light" w:cs="Times New Roman"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7107fe"/>
    <w:rPr>
      <w:rFonts w:eastAsia="游ゴシック Light" w:cs="Times New Roman" w:cstheme="majorBidi" w:eastAsiaTheme="majorEastAsia"/>
      <w:color w:themeColor="text1" w:themeTint="d8" w:val="272727"/>
    </w:rPr>
  </w:style>
  <w:style w:type="character" w:styleId="TitleChar" w:customStyle="1">
    <w:name w:val="Title Char"/>
    <w:basedOn w:val="DefaultParagraphFont"/>
    <w:link w:val="Title"/>
    <w:uiPriority w:val="10"/>
    <w:qFormat/>
    <w:rsid w:val="007107fe"/>
    <w:rPr>
      <w:rFonts w:ascii="Aptos Display" w:hAnsi="Aptos Display" w:eastAsia="游ゴシック Light" w:cs="Times New Roman"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7107fe"/>
    <w:rPr>
      <w:rFonts w:eastAsia="游ゴシック Light" w:cs="Times New Roman"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7107fe"/>
    <w:rPr>
      <w:i/>
      <w:iCs/>
      <w:color w:themeColor="text1" w:themeTint="bf" w:val="404040"/>
    </w:rPr>
  </w:style>
  <w:style w:type="character" w:styleId="IntenseEmphasis">
    <w:name w:val="Intense Emphasis"/>
    <w:basedOn w:val="DefaultParagraphFont"/>
    <w:uiPriority w:val="21"/>
    <w:qFormat/>
    <w:rsid w:val="007107fe"/>
    <w:rPr>
      <w:i/>
      <w:iCs/>
      <w:color w:themeColor="accent1" w:themeShade="bf" w:val="0F4761"/>
    </w:rPr>
  </w:style>
  <w:style w:type="character" w:styleId="IntenseQuoteChar" w:customStyle="1">
    <w:name w:val="Intense Quote Char"/>
    <w:basedOn w:val="DefaultParagraphFont"/>
    <w:link w:val="IntenseQuote"/>
    <w:uiPriority w:val="30"/>
    <w:qFormat/>
    <w:rsid w:val="007107fe"/>
    <w:rPr>
      <w:i/>
      <w:iCs/>
      <w:color w:themeColor="accent1" w:themeShade="bf" w:val="0F4761"/>
    </w:rPr>
  </w:style>
  <w:style w:type="character" w:styleId="IntenseReference">
    <w:name w:val="Intense Reference"/>
    <w:basedOn w:val="DefaultParagraphFont"/>
    <w:uiPriority w:val="32"/>
    <w:qFormat/>
    <w:rsid w:val="007107fe"/>
    <w:rPr>
      <w:b/>
      <w:bCs/>
      <w:smallCaps/>
      <w:color w:themeColor="accent1" w:themeShade="bf" w:val="0F4761"/>
      <w:spacing w:val="5"/>
    </w:rPr>
  </w:style>
  <w:style w:type="character" w:styleId="HeaderChar" w:customStyle="1">
    <w:name w:val="Header Char"/>
    <w:basedOn w:val="DefaultParagraphFont"/>
    <w:link w:val="Header"/>
    <w:uiPriority w:val="99"/>
    <w:qFormat/>
    <w:rsid w:val="007107fe"/>
    <w:rPr/>
  </w:style>
  <w:style w:type="character" w:styleId="FooterChar" w:customStyle="1">
    <w:name w:val="Footer Char"/>
    <w:basedOn w:val="DefaultParagraphFont"/>
    <w:link w:val="Footer"/>
    <w:uiPriority w:val="99"/>
    <w:qFormat/>
    <w:rsid w:val="007107fe"/>
    <w:rPr/>
  </w:style>
  <w:style w:type="character" w:styleId="Hyperlink">
    <w:name w:val="Hyperlink"/>
    <w:basedOn w:val="DefaultParagraphFont"/>
    <w:uiPriority w:val="99"/>
    <w:unhideWhenUsed/>
    <w:rsid w:val="00d61592"/>
    <w:rPr>
      <w:color w:themeColor="hyperlink" w:val="467886"/>
      <w:u w:val="single"/>
    </w:rPr>
  </w:style>
  <w:style w:type="character" w:styleId="UnresolvedMention">
    <w:name w:val="Unresolved Mention"/>
    <w:basedOn w:val="DefaultParagraphFont"/>
    <w:uiPriority w:val="99"/>
    <w:semiHidden/>
    <w:unhideWhenUsed/>
    <w:qFormat/>
    <w:rsid w:val="00d61592"/>
    <w:rPr>
      <w:color w:val="605E5C"/>
      <w:shd w:fill="E1DFDD" w:val="clear"/>
    </w:rPr>
  </w:style>
  <w:style w:type="character" w:styleId="CommentTextChar" w:customStyle="1">
    <w:name w:val="Comment Text Char"/>
    <w:basedOn w:val="DefaultParagraphFont"/>
    <w:link w:val="CommentText1"/>
    <w:uiPriority w:val="99"/>
    <w:qFormat/>
    <w:rsid w:val="00131adc"/>
    <w:rPr>
      <w:sz w:val="20"/>
      <w:szCs w:val="20"/>
    </w:rPr>
  </w:style>
  <w:style w:type="character" w:styleId="CommentReference">
    <w:name w:val="annotation reference"/>
    <w:basedOn w:val="DefaultParagraphFont"/>
    <w:uiPriority w:val="99"/>
    <w:semiHidden/>
    <w:unhideWhenUsed/>
    <w:qFormat/>
    <w:rsid w:val="00131adc"/>
    <w:rPr>
      <w:sz w:val="16"/>
      <w:szCs w:val="16"/>
    </w:rPr>
  </w:style>
  <w:style w:type="character" w:styleId="CommentSubjectChar" w:customStyle="1">
    <w:name w:val="Comment Subject Char"/>
    <w:basedOn w:val="CommentTextChar"/>
    <w:link w:val="annotationsubject"/>
    <w:uiPriority w:val="99"/>
    <w:semiHidden/>
    <w:qFormat/>
    <w:rsid w:val="00131adc"/>
    <w:rPr>
      <w:sz w:val="20"/>
      <w:szCs w:val="20"/>
    </w:rPr>
  </w:style>
  <w:style w:type="character" w:styleId="CommentTextChar1" w:customStyle="1">
    <w:name w:val="Comment Text Char1"/>
    <w:basedOn w:val="DefaultParagraphFont"/>
    <w:link w:val="CommentText"/>
    <w:uiPriority w:val="99"/>
    <w:semiHidden/>
    <w:qFormat/>
    <w:rsid w:val="00131adc"/>
    <w:rPr>
      <w:rFonts w:ascii="Arial" w:hAnsi="Arial" w:eastAsia="Calibri" w:cs="Arial"/>
      <w:sz w:val="20"/>
      <w:szCs w:val="20"/>
      <w:lang w:val="en-GB"/>
    </w:rPr>
  </w:style>
  <w:style w:type="character" w:styleId="CommentSubjectChar1" w:customStyle="1">
    <w:name w:val="Comment Subject Char1"/>
    <w:basedOn w:val="CommentTextChar1"/>
    <w:uiPriority w:val="99"/>
    <w:semiHidden/>
    <w:qFormat/>
    <w:rsid w:val="00131adc"/>
    <w:rPr>
      <w:rFonts w:ascii="Arial" w:hAnsi="Arial" w:eastAsia="Calibri" w:cs="Arial"/>
      <w:b/>
      <w:bCs/>
      <w:sz w:val="20"/>
      <w:szCs w:val="20"/>
      <w:lang w:val="en-GB"/>
    </w:rPr>
  </w:style>
  <w:style w:type="character" w:styleId="1Char" w:customStyle="1">
    <w:name w:val="Επικεφαλίδα 1 Char"/>
    <w:basedOn w:val="DefaultParagraphFont"/>
    <w:uiPriority w:val="9"/>
    <w:qFormat/>
    <w:rsid w:val="536ac172"/>
    <w:rPr>
      <w:rFonts w:ascii="Arial" w:hAnsi="Arial" w:cs="Arial"/>
      <w:b/>
      <w:bCs/>
      <w:color w:themeColor="accent1" w:themeShade="bf" w:val="0F4761"/>
    </w:rPr>
  </w:style>
  <w:style w:type="character" w:styleId="2Char" w:customStyle="1">
    <w:name w:val="Επικεφαλίδα 2 Char"/>
    <w:basedOn w:val="DefaultParagraphFont"/>
    <w:uiPriority w:val="9"/>
    <w:qFormat/>
    <w:rsid w:val="536ac172"/>
    <w:rPr>
      <w:rFonts w:ascii="Arial" w:hAnsi="Arial" w:eastAsia="Calibri" w:cs="Arial"/>
      <w:b/>
      <w:bCs/>
      <w:color w:themeColor="accent1" w:themeShade="bf" w:val="0F4761"/>
      <w:sz w:val="22"/>
      <w:szCs w:val="22"/>
      <w:lang w:val="en-GB"/>
    </w:rPr>
  </w:style>
  <w:style w:type="character" w:styleId="FollowedHyperlink">
    <w:name w:val="FollowedHyperlink"/>
    <w:basedOn w:val="DefaultParagraphFont"/>
    <w:uiPriority w:val="99"/>
    <w:semiHidden/>
    <w:unhideWhenUsed/>
    <w:rsid w:val="004062d1"/>
    <w:rPr>
      <w:color w:themeColor="followedHyperlink" w:val="96607D"/>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next w:val="Normal"/>
    <w:uiPriority w:val="35"/>
    <w:unhideWhenUsed/>
    <w:qFormat/>
    <w:rsid w:val="536ac172"/>
    <w:pPr>
      <w:spacing w:lineRule="auto" w:line="240" w:before="80" w:after="200"/>
    </w:pPr>
    <w:rPr>
      <w:i/>
      <w:iCs/>
      <w:color w:themeColor="text2" w:val="0E2841"/>
      <w:sz w:val="18"/>
      <w:szCs w:val="18"/>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536ac172"/>
    <w:pPr>
      <w:spacing w:lineRule="auto" w:line="240" w:before="80" w:after="80"/>
      <w:contextualSpacing/>
    </w:pPr>
    <w:rPr>
      <w:rFonts w:ascii="Aptos Display" w:hAnsi="Aptos Display" w:eastAsia="游ゴシック Light" w:cs="Times New Roman" w:asciiTheme="majorHAnsi" w:cstheme="majorBidi" w:eastAsiaTheme="majorEastAsia" w:hAnsiTheme="majorHAnsi"/>
      <w:sz w:val="56"/>
      <w:szCs w:val="56"/>
    </w:rPr>
  </w:style>
  <w:style w:type="paragraph" w:styleId="Subtitle">
    <w:name w:val="Subtitle"/>
    <w:basedOn w:val="Normal"/>
    <w:next w:val="Normal"/>
    <w:link w:val="SubtitleChar"/>
    <w:uiPriority w:val="11"/>
    <w:qFormat/>
    <w:rsid w:val="536ac172"/>
    <w:pPr/>
    <w:rPr>
      <w:rFonts w:eastAsia="游ゴシック Light" w:cs="Times New Roman" w:cstheme="majorBidi" w:eastAsiaTheme="majorEastAsia"/>
      <w:color w:themeColor="text1" w:themeTint="a6" w:val="595959"/>
      <w:sz w:val="28"/>
      <w:szCs w:val="28"/>
    </w:rPr>
  </w:style>
  <w:style w:type="paragraph" w:styleId="Quote">
    <w:name w:val="Quote"/>
    <w:basedOn w:val="Normal"/>
    <w:next w:val="Normal"/>
    <w:link w:val="QuoteChar"/>
    <w:uiPriority w:val="29"/>
    <w:qFormat/>
    <w:rsid w:val="536ac172"/>
    <w:pPr>
      <w:spacing w:before="160" w:after="120"/>
      <w:jc w:val="center"/>
    </w:pPr>
    <w:rPr>
      <w:i/>
      <w:iCs/>
      <w:color w:themeColor="text1" w:themeTint="bf" w:val="404040"/>
    </w:rPr>
  </w:style>
  <w:style w:type="paragraph" w:styleId="ListParagraph">
    <w:name w:val="List Paragraph"/>
    <w:basedOn w:val="Normal"/>
    <w:uiPriority w:val="34"/>
    <w:qFormat/>
    <w:rsid w:val="536ac172"/>
    <w:pPr>
      <w:spacing w:before="80" w:after="120"/>
      <w:ind w:start="720"/>
      <w:contextualSpacing/>
    </w:pPr>
    <w:rPr/>
  </w:style>
  <w:style w:type="paragraph" w:styleId="IntenseQuote">
    <w:name w:val="Intense Quote"/>
    <w:basedOn w:val="Normal"/>
    <w:next w:val="Normal"/>
    <w:link w:val="IntenseQuoteChar"/>
    <w:uiPriority w:val="30"/>
    <w:qFormat/>
    <w:rsid w:val="536ac172"/>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536ac172"/>
    <w:pPr>
      <w:tabs>
        <w:tab w:val="clear" w:pos="720"/>
        <w:tab w:val="center" w:pos="4680" w:leader="none"/>
        <w:tab w:val="right" w:pos="9360" w:leader="none"/>
      </w:tabs>
      <w:spacing w:lineRule="auto" w:line="240" w:before="80" w:after="0"/>
    </w:pPr>
    <w:rPr/>
  </w:style>
  <w:style w:type="paragraph" w:styleId="Footer">
    <w:name w:val="footer"/>
    <w:basedOn w:val="Normal"/>
    <w:link w:val="FooterChar"/>
    <w:uiPriority w:val="99"/>
    <w:unhideWhenUsed/>
    <w:rsid w:val="536ac172"/>
    <w:pPr>
      <w:tabs>
        <w:tab w:val="clear" w:pos="720"/>
        <w:tab w:val="center" w:pos="4680" w:leader="none"/>
        <w:tab w:val="right" w:pos="9360" w:leader="none"/>
      </w:tabs>
      <w:spacing w:lineRule="auto" w:line="240" w:before="80" w:after="0"/>
    </w:pPr>
    <w:rPr/>
  </w:style>
  <w:style w:type="paragraph" w:styleId="TOC1">
    <w:name w:val="toc 1"/>
    <w:basedOn w:val="Normal"/>
    <w:next w:val="Normal"/>
    <w:uiPriority w:val="39"/>
    <w:unhideWhenUsed/>
    <w:rsid w:val="536ac172"/>
    <w:pPr>
      <w:spacing w:lineRule="auto" w:line="240" w:before="80" w:after="100"/>
    </w:pPr>
    <w:rPr>
      <w:rFonts w:eastAsia="Arial"/>
      <w:b/>
      <w:bCs/>
    </w:rPr>
  </w:style>
  <w:style w:type="paragraph" w:styleId="TOC2">
    <w:name w:val="toc 2"/>
    <w:basedOn w:val="Normal"/>
    <w:next w:val="Normal"/>
    <w:uiPriority w:val="39"/>
    <w:unhideWhenUsed/>
    <w:rsid w:val="536ac172"/>
    <w:pPr>
      <w:spacing w:lineRule="auto" w:line="240" w:before="80" w:after="100"/>
      <w:ind w:start="240"/>
    </w:pPr>
    <w:rPr>
      <w:rFonts w:eastAsia="Arial"/>
    </w:rPr>
  </w:style>
  <w:style w:type="paragraph" w:styleId="TOC3">
    <w:name w:val="toc 3"/>
    <w:basedOn w:val="Normal"/>
    <w:next w:val="Normal"/>
    <w:uiPriority w:val="39"/>
    <w:unhideWhenUsed/>
    <w:rsid w:val="536ac172"/>
    <w:pPr>
      <w:spacing w:lineRule="auto" w:line="240" w:before="80" w:after="100"/>
      <w:ind w:start="480"/>
    </w:pPr>
    <w:rPr>
      <w:rFonts w:eastAsia="Arial"/>
    </w:rPr>
  </w:style>
  <w:style w:type="paragraph" w:styleId="IndexHeading">
    <w:name w:val="index heading"/>
    <w:basedOn w:val="Heading"/>
    <w:pPr/>
    <w:rPr/>
  </w:style>
  <w:style w:type="paragraph" w:styleId="TOCHeading">
    <w:name w:val="TOC Heading"/>
    <w:basedOn w:val="Heading1"/>
    <w:next w:val="Normal"/>
    <w:uiPriority w:val="39"/>
    <w:unhideWhenUsed/>
    <w:qFormat/>
    <w:rsid w:val="00ee01de"/>
    <w:pPr>
      <w:keepNext w:val="true"/>
      <w:keepLines/>
      <w:tabs>
        <w:tab w:val="clear" w:pos="9060"/>
      </w:tabs>
      <w:spacing w:lineRule="auto" w:line="259" w:before="240" w:after="0"/>
      <w:ind w:hanging="0" w:start="0"/>
      <w:jc w:val="start"/>
      <w:outlineLvl w:val="9"/>
    </w:pPr>
    <w:rPr>
      <w:rFonts w:ascii="Aptos Display" w:hAnsi="Aptos Display" w:eastAsia="游ゴシック Light" w:cs="Times New Roman" w:asciiTheme="majorHAnsi" w:cstheme="majorBidi" w:eastAsiaTheme="majorEastAsia" w:hAnsiTheme="majorHAnsi"/>
      <w:b w:val="false"/>
      <w:bCs w:val="false"/>
      <w:sz w:val="32"/>
      <w:szCs w:val="32"/>
      <w:lang w:val="en-US"/>
    </w:rPr>
  </w:style>
  <w:style w:type="paragraph" w:styleId="TableofFigures">
    <w:name w:val="table of figures"/>
    <w:basedOn w:val="Normal"/>
    <w:next w:val="Normal"/>
    <w:uiPriority w:val="99"/>
    <w:unhideWhenUsed/>
    <w:rsid w:val="536ac172"/>
    <w:pPr>
      <w:spacing w:before="80" w:after="0"/>
    </w:pPr>
    <w:rPr/>
  </w:style>
  <w:style w:type="paragraph" w:styleId="CommentText1" w:customStyle="1">
    <w:name w:val="Comment Text1"/>
    <w:basedOn w:val="Normal"/>
    <w:next w:val="CommentText"/>
    <w:link w:val="CommentTextChar"/>
    <w:uiPriority w:val="99"/>
    <w:unhideWhenUsed/>
    <w:qFormat/>
    <w:rsid w:val="536ac172"/>
    <w:pPr>
      <w:spacing w:lineRule="auto" w:line="240"/>
    </w:pPr>
    <w:rPr>
      <w:sz w:val="20"/>
      <w:szCs w:val="20"/>
      <w:lang w:val="en-US"/>
    </w:rPr>
  </w:style>
  <w:style w:type="paragraph" w:styleId="equation" w:customStyle="1">
    <w:name w:val="equation"/>
    <w:basedOn w:val="Normal"/>
    <w:next w:val="Normal"/>
    <w:uiPriority w:val="1"/>
    <w:qFormat/>
    <w:rsid w:val="536ac172"/>
    <w:pPr>
      <w:tabs>
        <w:tab w:val="clear" w:pos="720"/>
        <w:tab w:val="center" w:pos="3289" w:leader="none"/>
        <w:tab w:val="right" w:pos="6917" w:leader="none"/>
      </w:tabs>
      <w:spacing w:lineRule="atLeast" w:line="240" w:before="160" w:after="120"/>
    </w:pPr>
    <w:rPr>
      <w:rFonts w:ascii="Times New Roman" w:hAnsi="Times New Roman" w:eastAsia="Times New Roman" w:cs="Times New Roman"/>
      <w:sz w:val="20"/>
      <w:szCs w:val="20"/>
      <w:lang w:val="en-US"/>
    </w:rPr>
  </w:style>
  <w:style w:type="paragraph" w:styleId="Revision1" w:customStyle="1">
    <w:name w:val="Revision1"/>
    <w:next w:val="Revision"/>
    <w:uiPriority w:val="99"/>
    <w:semiHidden/>
    <w:qFormat/>
    <w:rsid w:val="00131adc"/>
    <w:pPr>
      <w:widowControl/>
      <w:bidi w:val="0"/>
      <w:spacing w:lineRule="auto" w:line="240" w:before="0" w:after="0"/>
      <w:jc w:val="start"/>
    </w:pPr>
    <w:rPr>
      <w:rFonts w:ascii="Aptos" w:hAnsi="Aptos" w:eastAsia="Aptos" w:cs="Arial"/>
      <w:color w:val="auto"/>
      <w:kern w:val="0"/>
      <w:sz w:val="22"/>
      <w:szCs w:val="22"/>
      <w:lang w:val="en-US" w:eastAsia="en-US" w:bidi="ar-SA"/>
      <w14:ligatures w14:val="none"/>
    </w:rPr>
  </w:style>
  <w:style w:type="paragraph" w:styleId="CommentSubject1" w:customStyle="1">
    <w:name w:val="Comment Subject1"/>
    <w:basedOn w:val="CommentText"/>
    <w:next w:val="CommentText"/>
    <w:uiPriority w:val="99"/>
    <w:semiHidden/>
    <w:unhideWhenUsed/>
    <w:qFormat/>
    <w:rsid w:val="00131adc"/>
    <w:pPr/>
    <w:rPr>
      <w:rFonts w:ascii="Aptos" w:hAnsi="Aptos" w:eastAsia="Aptos" w:cs="Times New Roman"/>
      <w:b/>
      <w:bCs/>
      <w:kern w:val="0"/>
      <w:lang w:val="en-US"/>
      <w14:ligatures w14:val="none"/>
    </w:rPr>
  </w:style>
  <w:style w:type="paragraph" w:styleId="CommentText">
    <w:name w:val="annotation text"/>
    <w:basedOn w:val="Normal"/>
    <w:link w:val="CommentTextChar1"/>
    <w:uiPriority w:val="99"/>
    <w:unhideWhenUsed/>
    <w:rsid w:val="536ac172"/>
    <w:pPr>
      <w:spacing w:lineRule="auto" w:line="240"/>
    </w:pPr>
    <w:rPr>
      <w:sz w:val="20"/>
      <w:szCs w:val="20"/>
    </w:rPr>
  </w:style>
  <w:style w:type="paragraph" w:styleId="Revision">
    <w:name w:val="Revision"/>
    <w:uiPriority w:val="99"/>
    <w:semiHidden/>
    <w:qFormat/>
    <w:rsid w:val="00131adc"/>
    <w:pPr>
      <w:widowControl/>
      <w:bidi w:val="0"/>
      <w:spacing w:lineRule="auto" w:line="240" w:before="0" w:after="0"/>
      <w:jc w:val="start"/>
    </w:pPr>
    <w:rPr>
      <w:rFonts w:ascii="Arial" w:hAnsi="Arial" w:eastAsia="Calibri" w:cs="Arial" w:cstheme="minorBidi"/>
      <w:color w:val="auto"/>
      <w:kern w:val="2"/>
      <w:sz w:val="24"/>
      <w:szCs w:val="24"/>
      <w:lang w:val="en-GB" w:eastAsia="en-US" w:bidi="ar-SA"/>
      <w14:ligatures w14:val="standardContextual"/>
    </w:rPr>
  </w:style>
  <w:style w:type="paragraph" w:styleId="annotationsubject">
    <w:name w:val="annotation subject"/>
    <w:basedOn w:val="CommentText"/>
    <w:next w:val="CommentText"/>
    <w:link w:val="CommentSubjectChar"/>
    <w:uiPriority w:val="99"/>
    <w:semiHidden/>
    <w:unhideWhenUsed/>
    <w:qFormat/>
    <w:rsid w:val="00131adc"/>
    <w:pPr/>
    <w:rPr>
      <w:rFonts w:ascii="Aptos" w:hAnsi="Aptos" w:eastAsia="Aptos" w:cs="Arial" w:asciiTheme="minorHAnsi" w:cstheme="minorBidi" w:eastAsiaTheme="minorHAnsi" w:hAnsiTheme="minorHAnsi"/>
      <w:lang w:val="en-US"/>
    </w:rPr>
  </w:style>
  <w:style w:type="paragraph" w:styleId="TOC4">
    <w:name w:val="toc 4"/>
    <w:basedOn w:val="Normal"/>
    <w:next w:val="Normal"/>
    <w:uiPriority w:val="39"/>
    <w:unhideWhenUsed/>
    <w:rsid w:val="5be9987f"/>
    <w:pPr>
      <w:spacing w:before="80" w:after="100"/>
      <w:ind w:start="660"/>
    </w:pPr>
    <w:rPr/>
  </w:style>
  <w:style w:type="paragraph" w:styleId="FrameContents">
    <w:name w:val="Frame Contents"/>
    <w:basedOn w:val="Normal"/>
    <w:qFormat/>
    <w:pPr/>
    <w:rPr/>
  </w:style>
  <w:style w:type="numbering" w:styleId="NoList" w:default="1">
    <w:name w:val="No List"/>
    <w:uiPriority w:val="99"/>
    <w:semiHidden/>
    <w:unhideWhenUsed/>
    <w:qFormat/>
  </w:style>
  <w:style w:type="numbering" w:styleId="NoList1" w:customStyle="1">
    <w:name w:val="No List1"/>
    <w:uiPriority w:val="99"/>
    <w:semiHidden/>
    <w:unhideWhenUsed/>
    <w:qFormat/>
    <w:rsid w:val="00131adc"/>
  </w:style>
  <w:style w:type="numbering" w:styleId="NoList2" w:customStyle="1">
    <w:name w:val="No List2"/>
    <w:uiPriority w:val="99"/>
    <w:semiHidden/>
    <w:unhideWhenUsed/>
    <w:qFormat/>
    <w:rsid w:val="001b5ca0"/>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Style11">
    <w:name w:val="Style11"/>
    <w:basedOn w:val="TableNormal"/>
    <w:uiPriority w:val="99"/>
    <w:rsid w:val="00d61592"/>
    <w:pPr>
      <w:spacing w:after="0" w:line="240" w:lineRule="auto"/>
    </w:pPr>
    <w:rPr>
      <w:color w:val="000000" w:themeColor="text1"/>
      <w:sz w:val="22"/>
      <w:szCs w:val="22"/>
      <w:lang w:val="en-GB"/>
    </w:rPr>
    <w:tcPr>
      <w:vAlign w:val="center"/>
    </w:tcPr>
    <w:tblStylePr w:type="firstRow">
      <w:rPr>
        <w:color w:val="156082" w:themeColor="accent1"/>
      </w:rPr>
      <w:tblPr/>
      <w:tcPr>
        <w:shd w:val="clear" w:color="auto" w:fill="156082" w:themeFill="accent1"/>
      </w:tcPr>
    </w:tblStylePr>
  </w:style>
  <w:style w:type="table" w:customStyle="1" w:styleId="Style2">
    <w:name w:val="Style2"/>
    <w:basedOn w:val="TableNormal"/>
    <w:uiPriority w:val="99"/>
    <w:rsid w:val="00d61592"/>
    <w:pPr>
      <w:spacing w:after="0" w:line="240" w:lineRule="auto"/>
    </w:pPr>
    <w:rPr>
      <w:sz w:val="22"/>
      <w:szCs w:val="22"/>
      <w:lang w:val="en-GB"/>
    </w:rPr>
    <w:tcPr>
      <w:shd w:val="clear" w:color="auto" w:fill="auto"/>
    </w:tcPr>
    <w:tblStylePr w:type="firstRow">
      <w:tblPr/>
      <w:tcPr>
        <w:shd w:val="clear" w:color="auto" w:fill="A5A5A5"/>
      </w:tcPr>
    </w:tblStylePr>
  </w:style>
  <w:style w:type="table" w:styleId="PlainTable3">
    <w:name w:val="Plain Table 3"/>
    <w:basedOn w:val="TableNormal"/>
    <w:uiPriority w:val="43"/>
    <w:rsid w:val="00d61592"/>
    <w:pPr>
      <w:spacing w:after="0" w:line="240" w:lineRule="auto"/>
    </w:pPr>
    <w:tblPr>
      <w:tblStyleRowBandSize w:val="1"/>
      <w:tblStyleColBandSize w:val="1"/>
    </w:tblPr>
    <w:tblStylePr w:type="firstRow">
      <w:rPr>
        <w:b/>
        <w:bCs/>
        <w:caps/>
      </w:rPr>
      <w:tblPr/>
      <w:tcPr>
        <w:tcBorders>
          <w:bottom w:val="single" w:color="7F7F7F" w:themeColor="text1"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d61592"/>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Pr/>
    </w:tblStylePr>
    <w:tblStylePr w:type="lastRow">
      <w:rPr>
        <w:b/>
        <w:bCs/>
      </w:rPr>
      <w:tblPr/>
      <w:tcPr>
        <w:tcBorders>
          <w:top w:val="double" w:color="BFBFBF" w:themeColor="background1" w:sz="4" w:space="0"/>
        </w:tcBorders>
      </w:tc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477e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lainTable4">
    <w:name w:val="Plain Table 4"/>
    <w:basedOn w:val="TableNormal"/>
    <w:uiPriority w:val="44"/>
    <w:rsid w:val="002477e0"/>
    <w:pPr>
      <w:spacing w:after="0" w:line="240" w:lineRule="auto"/>
    </w:pPr>
    <w:tblPr>
      <w:tblStyleRowBandSize w:val="1"/>
      <w:tblStyleColBandSize w:val="1"/>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uiPriority w:val="39"/>
    <w:rsid w:val="00131adc"/>
    <w:pPr>
      <w:spacing w:after="0" w:line="240"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39"/>
    <w:rsid w:val="00131ad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uiPriority w:val="39"/>
    <w:rsid w:val="001b5ca0"/>
    <w:pPr>
      <w:spacing w:after="0" w:line="240"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2">
    <w:name w:val="List Table 2"/>
    <w:basedOn w:val="TableNormal"/>
    <w:uiPriority w:val="47"/>
    <w:rsid w:val="00ba4786"/>
    <w:pPr>
      <w:spacing w:after="0" w:line="240" w:lineRule="auto"/>
    </w:pPr>
    <w:rPr>
      <w:lang w:val="el-GR"/>
    </w:r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ba4786"/>
    <w:pPr>
      <w:spacing w:after="0" w:line="240" w:lineRule="auto"/>
    </w:pPr>
    <w:rPr>
      <w:lang w:val="el-GR"/>
    </w:r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styleId="GridTable5Dark">
    <w:name w:val="Grid Table 5 Dark"/>
    <w:basedOn w:val="TableNormal"/>
    <w:uiPriority w:val="50"/>
    <w:rsid w:val="00ba4786"/>
    <w:pPr>
      <w:spacing w:after="0" w:line="240" w:lineRule="auto"/>
    </w:pPr>
    <w:rPr>
      <w:lang w:val="el-GR"/>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
    <w:name w:val="Grid Table 4"/>
    <w:basedOn w:val="TableNormal"/>
    <w:uiPriority w:val="49"/>
    <w:rsid w:val="00ba4786"/>
    <w:pPr>
      <w:spacing w:after="0" w:line="240" w:lineRule="auto"/>
    </w:pPr>
    <w:rPr>
      <w:lang w:val="el-GR"/>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diagramData" Target="diagrams/data3.xml"/><Relationship Id="rId5" Type="http://schemas.openxmlformats.org/officeDocument/2006/relationships/diagramLayout" Target="diagrams/layout3.xml"/><Relationship Id="rId6" Type="http://schemas.openxmlformats.org/officeDocument/2006/relationships/diagramQuickStyle" Target="diagrams/quickStyle3.xml"/><Relationship Id="rId7" Type="http://schemas.openxmlformats.org/officeDocument/2006/relationships/diagramColors" Target="diagrams/colors3.xml"/><Relationship Id="rId8" Type="http://schemas.microsoft.com/office/2007/relationships/diagramDrawing" Target="diagrams/drawing3.xml"/><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hyperlink" Target="https://www.ayvens.com/-/media/ayvens/public/shared/documents/ayvens-car-cost-index-2025---march-2025.pdf" TargetMode="External"/><Relationship Id="rId13" Type="http://schemas.openxmlformats.org/officeDocument/2006/relationships/image" Target="media/image6.png"/><Relationship Id="rId14" Type="http://schemas.openxmlformats.org/officeDocument/2006/relationships/hyperlink" Target="https://www.researchgate.net/publication/392778310_Estimating_Parking_Search_Times_for_Transport_Modelling_in_Europe_A_Hierarchical_Bayes_Approach_with_Cross-Regional_Data_Integration" TargetMode="External"/><Relationship Id="rId15" Type="http://schemas.openxmlformats.org/officeDocument/2006/relationships/hyperlink" Target="https://www.infras.ch/media/filer_public/fc/31/fc316665-e114-4514-bbca-ede593d2290f/ce_delft_4k83_task_d_summary_report.pdf" TargetMode="External"/><Relationship Id="rId16" Type="http://schemas.openxmlformats.org/officeDocument/2006/relationships/hyperlink" Target="https://theicct.org/sites/default/files/publications/Euro-VI-versus-6_ICCT_briefing_06012017.pdf?utm_source=chatgpt.com" TargetMode="External"/><Relationship Id="rId17" Type="http://schemas.openxmlformats.org/officeDocument/2006/relationships/hyperlink" Target="https://www.carandmotor.gr/nea/ayxithikan-oi-meses-ekpompes-co2-stin-ellada"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jpeg"/><Relationship Id="rId22" Type="http://schemas.openxmlformats.org/officeDocument/2006/relationships/image" Target="media/image11.jpeg"/><Relationship Id="rId23" Type="http://schemas.openxmlformats.org/officeDocument/2006/relationships/image" Target="media/image12.jpeg"/><Relationship Id="rId24" Type="http://schemas.openxmlformats.org/officeDocument/2006/relationships/image" Target="media/image13.jpeg"/><Relationship Id="rId25" Type="http://schemas.openxmlformats.org/officeDocument/2006/relationships/image" Target="media/image14.jpeg"/><Relationship Id="rId26" Type="http://schemas.openxmlformats.org/officeDocument/2006/relationships/image" Target="media/image15.jpeg"/><Relationship Id="rId27" Type="http://schemas.openxmlformats.org/officeDocument/2006/relationships/image" Target="media/image16.jpeg"/><Relationship Id="rId28" Type="http://schemas.openxmlformats.org/officeDocument/2006/relationships/image" Target="media/image17.jpeg"/><Relationship Id="rId29" Type="http://schemas.openxmlformats.org/officeDocument/2006/relationships/hyperlink" Target="https://www.ayvens.com/-/media/ayvens/public/shared/documents/ayvens-car-cost-index-2025---march-2025.pdf" TargetMode="External"/><Relationship Id="rId30" Type="http://schemas.openxmlformats.org/officeDocument/2006/relationships/hyperlink" Target="https://www.fiaregion1.com/wp-content/uploads/2022/11/FIA_Study_CostofOwnership.pdf" TargetMode="External"/><Relationship Id="rId31" Type="http://schemas.openxmlformats.org/officeDocument/2006/relationships/hyperlink" Target="https://ec.europa.eu/eurostat/statistics-explained/index.php/Passenger_cars_in_the_EU" TargetMode="External"/><Relationship Id="rId32" Type="http://schemas.openxmlformats.org/officeDocument/2006/relationships/hyperlink" Target="https://www.researchgate.net/publication/392778310_Estimating_Parking_Search_Times_for_Transport_Modelling_in_Europe_A_Hierarchical_Bayes_Approach_with_Cross-Regional_Data_Integration" TargetMode="External"/><Relationship Id="rId33" Type="http://schemas.openxmlformats.org/officeDocument/2006/relationships/hyperlink" Target="https://www.infras.ch/media/filer_public/fc316665-e114-4514-bbca-ede593d2290f/ce_delft_4k83_task_d_summary_report.pdf" TargetMode="External"/><Relationship Id="rId34" Type="http://schemas.openxmlformats.org/officeDocument/2006/relationships/hyperlink" Target="https://theicct.org/sites/default/files/publications/Euro-VI-versus-6_ICCT_briefing_06012017.pdf" TargetMode="External"/><Relationship Id="rId35" Type="http://schemas.openxmlformats.org/officeDocument/2006/relationships/hyperlink" Target="https://www.carandmotor.gr/nea/ayxithikan-oi-meses-ekpompes-co2-stin-ellada" TargetMode="External"/><Relationship Id="rId36" Type="http://schemas.openxmlformats.org/officeDocument/2006/relationships/header" Target="header1.xml"/><Relationship Id="rId37" Type="http://schemas.openxmlformats.org/officeDocument/2006/relationships/header" Target="header2.xml"/><Relationship Id="rId38" Type="http://schemas.openxmlformats.org/officeDocument/2006/relationships/header" Target="header3.xml"/><Relationship Id="rId39" Type="http://schemas.openxmlformats.org/officeDocument/2006/relationships/footer" Target="footer1.xml"/><Relationship Id="rId40" Type="http://schemas.openxmlformats.org/officeDocument/2006/relationships/footer" Target="footer2.xml"/><Relationship Id="rId41" Type="http://schemas.openxmlformats.org/officeDocument/2006/relationships/footer" Target="footer3.xml"/><Relationship Id="rId42" Type="http://schemas.openxmlformats.org/officeDocument/2006/relationships/comments" Target="comments.xml"/><Relationship Id="rId43" Type="http://schemas.microsoft.com/office/2011/relationships/commentsExtended" Target="commentsExtended.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Relationship Id="rId48"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8.jpeg"/>
</Relationships>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3.xml><?xml version="1.0" encoding="utf-8"?>
<dgm:dataModel xmlns:dgm="http://schemas.openxmlformats.org/drawingml/2006/diagram" xmlns:a="http://schemas.openxmlformats.org/drawingml/2006/main">
  <dgm:ptLst>
    <dgm:pt modelId="{C67E810A-C433-4AB2-BB85-17F011A6AC25}" type="doc">
      <dgm:prSet loTypeId="urn:microsoft.com/office/officeart/2005/8/layout/radial6" loCatId="cycle" qsTypeId="urn:microsoft.com/office/officeart/2005/8/quickstyle/simple3" qsCatId="simple" csTypeId="urn:microsoft.com/office/officeart/2005/8/colors/accent1_2" csCatId="accent1" phldr="1"/>
      <dgm:spPr/>
      <dgm:t>
        <a:bodyPr/>
        <a:lstStyle/>
        <a:p>
          <a:endParaRPr lang="en-US"/>
        </a:p>
      </dgm:t>
    </dgm:pt>
    <dgm:pt modelId="{14984645-A0CA-4E57-9BED-068A6BF0BA76}">
      <dgm:prSet phldrT="[Text]" phldr="0" custT="1"/>
      <dgm:spPr/>
      <dgm:t>
        <a:bodyPr/>
        <a:lstStyle/>
        <a:p>
          <a:r>
            <a:rPr lang="en-US" sz="850" dirty="0"/>
            <a:t>Digital facilitators (totem display &amp; mobile app) for Urban Mobility Measures</a:t>
          </a:r>
        </a:p>
      </dgm:t>
    </dgm:pt>
    <dgm:pt modelId="{BF34A99A-E648-4074-B3EC-0EDF7EA98737}" type="parTrans" cxnId="{9B3739A5-ECF9-4593-BB34-F8AA87C189B8}">
      <dgm:prSet/>
      <dgm:spPr/>
      <dgm:t>
        <a:bodyPr/>
        <a:lstStyle/>
        <a:p>
          <a:endParaRPr lang="en-US" sz="850"/>
        </a:p>
      </dgm:t>
    </dgm:pt>
    <dgm:pt modelId="{A1CF46D8-76AE-49FC-9FF9-D54E12811BD5}" type="sibTrans" cxnId="{9B3739A5-ECF9-4593-BB34-F8AA87C189B8}">
      <dgm:prSet/>
      <dgm:spPr/>
      <dgm:t>
        <a:bodyPr/>
        <a:lstStyle/>
        <a:p>
          <a:endParaRPr lang="en-US" sz="850"/>
        </a:p>
      </dgm:t>
    </dgm:pt>
    <dgm:pt modelId="{9301B5E5-99A3-438A-A0C4-52046AC04F59}">
      <dgm:prSet phldrT="[Text]" phldr="0" custT="1"/>
      <dgm:spPr/>
      <dgm:t>
        <a:bodyPr/>
        <a:lstStyle/>
        <a:p>
          <a:r>
            <a:rPr lang="en-US" sz="850" dirty="0"/>
            <a:t>Step 1: Information (Air Quality – Mobility assets)</a:t>
          </a:r>
        </a:p>
      </dgm:t>
    </dgm:pt>
    <dgm:pt modelId="{5CA98EA2-6AED-4407-994A-0903D8DB192D}" type="parTrans" cxnId="{BBDCF0EF-C1B7-436E-804C-EF8920170B4E}">
      <dgm:prSet/>
      <dgm:spPr/>
      <dgm:t>
        <a:bodyPr/>
        <a:lstStyle/>
        <a:p>
          <a:endParaRPr lang="en-US" sz="850"/>
        </a:p>
      </dgm:t>
    </dgm:pt>
    <dgm:pt modelId="{604B2E90-D3F7-4BA9-B2F8-946853D9E558}" type="sibTrans" cxnId="{BBDCF0EF-C1B7-436E-804C-EF8920170B4E}">
      <dgm:prSet/>
      <dgm:spPr/>
      <dgm:t>
        <a:bodyPr/>
        <a:lstStyle/>
        <a:p>
          <a:endParaRPr lang="en-US" sz="850"/>
        </a:p>
      </dgm:t>
    </dgm:pt>
    <dgm:pt modelId="{913C0810-6CB7-43B0-A612-2B69AE99168A}">
      <dgm:prSet phldrT="[Text]" phldr="1"/>
      <dgm:spPr/>
      <dgm:t>
        <a:bodyPr/>
        <a:lstStyle/>
        <a:p>
          <a:endParaRPr lang="en-US" sz="850" dirty="0"/>
        </a:p>
      </dgm:t>
    </dgm:pt>
    <dgm:pt modelId="{51ADFD54-11FE-4A12-9D71-E2BD80BAE2D9}" type="parTrans" cxnId="{A396A8CD-BF6C-4336-A461-7CBAFFC9954B}">
      <dgm:prSet/>
      <dgm:spPr/>
      <dgm:t>
        <a:bodyPr/>
        <a:lstStyle/>
        <a:p>
          <a:endParaRPr lang="en-US" sz="850"/>
        </a:p>
      </dgm:t>
    </dgm:pt>
    <dgm:pt modelId="{B49374C5-6671-49D9-9A3C-B63E93E4A406}" type="sibTrans" cxnId="{A396A8CD-BF6C-4336-A461-7CBAFFC9954B}">
      <dgm:prSet/>
      <dgm:spPr/>
      <dgm:t>
        <a:bodyPr/>
        <a:lstStyle/>
        <a:p>
          <a:endParaRPr lang="en-US" sz="850"/>
        </a:p>
      </dgm:t>
    </dgm:pt>
    <dgm:pt modelId="{7BD26868-8FAB-4F7E-BE1B-765E7181B35C}">
      <dgm:prSet phldrT="[Text]" phldr="1"/>
      <dgm:spPr/>
      <dgm:t>
        <a:bodyPr/>
        <a:lstStyle/>
        <a:p>
          <a:endParaRPr lang="en-US" sz="850"/>
        </a:p>
      </dgm:t>
    </dgm:pt>
    <dgm:pt modelId="{72470EEA-CD5F-4311-9137-26502EB04117}" type="parTrans" cxnId="{536EFE6F-5517-498F-82EE-0E5FFD044C64}">
      <dgm:prSet/>
      <dgm:spPr/>
      <dgm:t>
        <a:bodyPr/>
        <a:lstStyle/>
        <a:p>
          <a:endParaRPr lang="en-US" sz="850"/>
        </a:p>
      </dgm:t>
    </dgm:pt>
    <dgm:pt modelId="{037E046F-78E3-4381-BBB4-7B575551DF8D}" type="sibTrans" cxnId="{536EFE6F-5517-498F-82EE-0E5FFD044C64}">
      <dgm:prSet/>
      <dgm:spPr/>
      <dgm:t>
        <a:bodyPr/>
        <a:lstStyle/>
        <a:p>
          <a:endParaRPr lang="en-US" sz="850"/>
        </a:p>
      </dgm:t>
    </dgm:pt>
    <dgm:pt modelId="{613F1AF5-B3CF-4CD9-9A8A-B309007CA27A}">
      <dgm:prSet phldrT="[Text]" phldr="1"/>
      <dgm:spPr/>
      <dgm:t>
        <a:bodyPr/>
        <a:lstStyle/>
        <a:p>
          <a:endParaRPr lang="en-US" sz="850"/>
        </a:p>
      </dgm:t>
    </dgm:pt>
    <dgm:pt modelId="{56329D3F-B535-40E1-A3F9-252CD6939AD0}" type="parTrans" cxnId="{7B36086D-640A-4C41-9F1F-1CCD153E5C3F}">
      <dgm:prSet/>
      <dgm:spPr/>
      <dgm:t>
        <a:bodyPr/>
        <a:lstStyle/>
        <a:p>
          <a:endParaRPr lang="en-US" sz="850"/>
        </a:p>
      </dgm:t>
    </dgm:pt>
    <dgm:pt modelId="{3B403D3F-75EF-4B5A-8E68-12166CD782C3}" type="sibTrans" cxnId="{7B36086D-640A-4C41-9F1F-1CCD153E5C3F}">
      <dgm:prSet/>
      <dgm:spPr/>
      <dgm:t>
        <a:bodyPr/>
        <a:lstStyle/>
        <a:p>
          <a:endParaRPr lang="en-US" sz="850"/>
        </a:p>
      </dgm:t>
    </dgm:pt>
    <dgm:pt modelId="{E09B0DBA-C9C7-4A2F-BDC7-739C2EE2940C}">
      <dgm:prSet phldrT="[Text]" phldr="0" custT="1"/>
      <dgm:spPr/>
      <dgm:t>
        <a:bodyPr/>
        <a:lstStyle/>
        <a:p>
          <a:r>
            <a:rPr lang="en-US" sz="850" dirty="0"/>
            <a:t>Step 2: Nudging the user to shift </a:t>
          </a:r>
          <a:r>
            <a:rPr lang="en-US" sz="850" dirty="0" err="1"/>
            <a:t>behaviou</a:t>
          </a:r>
          <a:r>
            <a:rPr lang="en-US" sz="850" dirty="0"/>
            <a:t> (AI user </a:t>
          </a:r>
          <a:r>
            <a:rPr lang="en-US" sz="850" dirty="0" err="1"/>
            <a:t>behaviour</a:t>
          </a:r>
          <a:r>
            <a:rPr lang="en-US" sz="850" dirty="0"/>
            <a:t> understanding module)</a:t>
          </a:r>
        </a:p>
      </dgm:t>
    </dgm:pt>
    <dgm:pt modelId="{FB03F367-FF34-4D89-9F2F-4288403FA031}" type="parTrans" cxnId="{4F42D95C-C74B-42F6-8E4F-2FBFD0C736B6}">
      <dgm:prSet/>
      <dgm:spPr/>
      <dgm:t>
        <a:bodyPr/>
        <a:lstStyle/>
        <a:p>
          <a:endParaRPr lang="en-US" sz="850"/>
        </a:p>
      </dgm:t>
    </dgm:pt>
    <dgm:pt modelId="{CCF39895-EACA-4BBB-9240-9A263C41BF90}" type="sibTrans" cxnId="{4F42D95C-C74B-42F6-8E4F-2FBFD0C736B6}">
      <dgm:prSet/>
      <dgm:spPr/>
      <dgm:t>
        <a:bodyPr/>
        <a:lstStyle/>
        <a:p>
          <a:endParaRPr lang="en-US" sz="850"/>
        </a:p>
      </dgm:t>
    </dgm:pt>
    <dgm:pt modelId="{BC3A7118-0115-454F-ABE5-C0EBDB0B0BE8}">
      <dgm:prSet phldrT="[Text]" phldr="0" custT="1"/>
      <dgm:spPr/>
      <dgm:t>
        <a:bodyPr/>
        <a:lstStyle/>
        <a:p>
          <a:r>
            <a:rPr lang="en-US" sz="850" dirty="0"/>
            <a:t>Step 3: Educate the user to develop eco-conscious </a:t>
          </a:r>
          <a:r>
            <a:rPr lang="en-US" sz="850" dirty="0" err="1"/>
            <a:t>behaviour</a:t>
          </a:r>
          <a:r>
            <a:rPr lang="en-US" sz="850" dirty="0"/>
            <a:t> (clearly explain external costs of modal/route choice – eco-routing</a:t>
          </a:r>
        </a:p>
      </dgm:t>
    </dgm:pt>
    <dgm:pt modelId="{0EB761D5-4751-4DCB-885B-7B2C43D971E0}" type="parTrans" cxnId="{72F79513-C440-4C60-B9C8-D33E6F5DFA40}">
      <dgm:prSet/>
      <dgm:spPr/>
      <dgm:t>
        <a:bodyPr/>
        <a:lstStyle/>
        <a:p>
          <a:endParaRPr lang="en-US" sz="850"/>
        </a:p>
      </dgm:t>
    </dgm:pt>
    <dgm:pt modelId="{2DC04E6E-91A1-4BF0-B8BD-10BA93E29602}" type="sibTrans" cxnId="{72F79513-C440-4C60-B9C8-D33E6F5DFA40}">
      <dgm:prSet/>
      <dgm:spPr/>
      <dgm:t>
        <a:bodyPr/>
        <a:lstStyle/>
        <a:p>
          <a:endParaRPr lang="en-US" sz="850"/>
        </a:p>
      </dgm:t>
    </dgm:pt>
    <dgm:pt modelId="{E7105A95-48D1-497A-9437-025DB2FC47C9}">
      <dgm:prSet phldrT="[Text]" phldr="0" custT="1"/>
      <dgm:spPr/>
      <dgm:t>
        <a:bodyPr/>
        <a:lstStyle/>
        <a:p>
          <a:r>
            <a:rPr lang="en-US" sz="850" dirty="0"/>
            <a:t>Step 5: Hypothetical scenarios to comprehend conditions under which user </a:t>
          </a:r>
          <a:r>
            <a:rPr lang="en-US" sz="850" dirty="0" err="1"/>
            <a:t>behaviour</a:t>
          </a:r>
          <a:r>
            <a:rPr lang="en-US" sz="850" dirty="0"/>
            <a:t> changes (‘What if” gamification) </a:t>
          </a:r>
        </a:p>
      </dgm:t>
    </dgm:pt>
    <dgm:pt modelId="{ACB6ED93-4310-4941-98B1-E91ACF7C75C8}" type="parTrans" cxnId="{C9A868AB-DB26-44E3-8C3B-BF3B7C034460}">
      <dgm:prSet/>
      <dgm:spPr/>
      <dgm:t>
        <a:bodyPr/>
        <a:lstStyle/>
        <a:p>
          <a:endParaRPr lang="en-US" sz="850"/>
        </a:p>
      </dgm:t>
    </dgm:pt>
    <dgm:pt modelId="{B9BB27AA-3B59-4685-8111-0370DB156C6C}" type="sibTrans" cxnId="{C9A868AB-DB26-44E3-8C3B-BF3B7C034460}">
      <dgm:prSet/>
      <dgm:spPr/>
      <dgm:t>
        <a:bodyPr/>
        <a:lstStyle/>
        <a:p>
          <a:endParaRPr lang="en-US" sz="850"/>
        </a:p>
      </dgm:t>
    </dgm:pt>
    <dgm:pt modelId="{50A6E3EF-9F78-43E9-94F4-697622E7AF4A}">
      <dgm:prSet phldrT="[Text]" phldr="0" custT="1"/>
      <dgm:spPr/>
      <dgm:t>
        <a:bodyPr/>
        <a:lstStyle/>
        <a:p>
          <a:r>
            <a:rPr lang="en-US" sz="850" dirty="0"/>
            <a:t>Step 4: Engage the citizens to maintain eco-conscious </a:t>
          </a:r>
          <a:r>
            <a:rPr lang="en-US" sz="850" dirty="0" err="1"/>
            <a:t>behaviour</a:t>
          </a:r>
          <a:r>
            <a:rPr lang="en-US" sz="850" dirty="0"/>
            <a:t> (gamification, incentives)</a:t>
          </a:r>
        </a:p>
      </dgm:t>
    </dgm:pt>
    <dgm:pt modelId="{819E5045-76FF-4131-9650-C4504E10D34F}" type="parTrans" cxnId="{06B723DF-1EEC-4E9D-B200-BBFF911C3DF4}">
      <dgm:prSet/>
      <dgm:spPr/>
      <dgm:t>
        <a:bodyPr/>
        <a:lstStyle/>
        <a:p>
          <a:endParaRPr lang="en-US" sz="850"/>
        </a:p>
      </dgm:t>
    </dgm:pt>
    <dgm:pt modelId="{36265FC7-883B-485B-B356-B0579A2EBFBA}" type="sibTrans" cxnId="{06B723DF-1EEC-4E9D-B200-BBFF911C3DF4}">
      <dgm:prSet/>
      <dgm:spPr/>
      <dgm:t>
        <a:bodyPr/>
        <a:lstStyle/>
        <a:p>
          <a:endParaRPr lang="en-US" sz="850"/>
        </a:p>
      </dgm:t>
    </dgm:pt>
    <dgm:pt modelId="{05C73D54-52BA-4059-BFAA-A21602DCBB95}" type="pres">
      <dgm:prSet presAssocID="{C67E810A-C433-4AB2-BB85-17F011A6AC25}" presName="Name0" presStyleCnt="0">
        <dgm:presLayoutVars>
          <dgm:chMax val="1"/>
          <dgm:dir/>
          <dgm:animLvl val="ctr"/>
          <dgm:resizeHandles val="exact"/>
        </dgm:presLayoutVars>
      </dgm:prSet>
      <dgm:spPr/>
    </dgm:pt>
    <dgm:pt modelId="{9BE7ACC8-0C96-4F30-8E5D-B6ABB139DE9E}" type="pres">
      <dgm:prSet presAssocID="{14984645-A0CA-4E57-9BED-068A6BF0BA76}" presName="centerShape" presStyleLbl="node0" presStyleIdx="0" presStyleCnt="1"/>
      <dgm:spPr/>
    </dgm:pt>
    <dgm:pt modelId="{281AA52D-EA00-4E02-A83E-2BF7D4027862}" type="pres">
      <dgm:prSet presAssocID="{9301B5E5-99A3-438A-A0C4-52046AC04F59}" presName="node" presStyleLbl="node1" presStyleIdx="0" presStyleCnt="5">
        <dgm:presLayoutVars>
          <dgm:bulletEnabled val="1"/>
        </dgm:presLayoutVars>
      </dgm:prSet>
      <dgm:spPr/>
    </dgm:pt>
    <dgm:pt modelId="{79BB458F-2B5E-46D1-B349-883785606E72}" type="pres">
      <dgm:prSet presAssocID="{9301B5E5-99A3-438A-A0C4-52046AC04F59}" presName="dummy" presStyleCnt="0"/>
      <dgm:spPr/>
    </dgm:pt>
    <dgm:pt modelId="{BBB4E0B2-AD8E-48F5-B198-D31B2F146BC6}" type="pres">
      <dgm:prSet presAssocID="{604B2E90-D3F7-4BA9-B2F8-946853D9E558}" presName="sibTrans" presStyleLbl="sibTrans2D1" presStyleIdx="0" presStyleCnt="5"/>
      <dgm:spPr/>
    </dgm:pt>
    <dgm:pt modelId="{6FB9D019-E9D3-4FC1-ACCF-BED77ED716AC}" type="pres">
      <dgm:prSet presAssocID="{E09B0DBA-C9C7-4A2F-BDC7-739C2EE2940C}" presName="node" presStyleLbl="node1" presStyleIdx="1" presStyleCnt="5">
        <dgm:presLayoutVars>
          <dgm:bulletEnabled val="1"/>
        </dgm:presLayoutVars>
      </dgm:prSet>
      <dgm:spPr/>
    </dgm:pt>
    <dgm:pt modelId="{FF439BB6-56B2-45F7-8BD7-A447F0C99EF8}" type="pres">
      <dgm:prSet presAssocID="{E09B0DBA-C9C7-4A2F-BDC7-739C2EE2940C}" presName="dummy" presStyleCnt="0"/>
      <dgm:spPr/>
    </dgm:pt>
    <dgm:pt modelId="{897CC1A3-247D-4607-99A1-83C87688E6B4}" type="pres">
      <dgm:prSet presAssocID="{CCF39895-EACA-4BBB-9240-9A263C41BF90}" presName="sibTrans" presStyleLbl="sibTrans2D1" presStyleIdx="1" presStyleCnt="5"/>
      <dgm:spPr/>
    </dgm:pt>
    <dgm:pt modelId="{3861EF63-791D-460D-BD0E-E324E8CE41E8}" type="pres">
      <dgm:prSet presAssocID="{BC3A7118-0115-454F-ABE5-C0EBDB0B0BE8}" presName="node" presStyleLbl="node1" presStyleIdx="2" presStyleCnt="5">
        <dgm:presLayoutVars>
          <dgm:bulletEnabled val="1"/>
        </dgm:presLayoutVars>
      </dgm:prSet>
      <dgm:spPr/>
    </dgm:pt>
    <dgm:pt modelId="{38E45E91-37F6-453C-A731-1C44CFD29592}" type="pres">
      <dgm:prSet presAssocID="{BC3A7118-0115-454F-ABE5-C0EBDB0B0BE8}" presName="dummy" presStyleCnt="0"/>
      <dgm:spPr/>
    </dgm:pt>
    <dgm:pt modelId="{7B8F100F-0615-4D1F-A462-AC2566AFBFFA}" type="pres">
      <dgm:prSet presAssocID="{2DC04E6E-91A1-4BF0-B8BD-10BA93E29602}" presName="sibTrans" presStyleLbl="sibTrans2D1" presStyleIdx="2" presStyleCnt="5"/>
      <dgm:spPr/>
    </dgm:pt>
    <dgm:pt modelId="{13B7DE8C-3481-41D8-B394-F71686C09EA3}" type="pres">
      <dgm:prSet presAssocID="{50A6E3EF-9F78-43E9-94F4-697622E7AF4A}" presName="node" presStyleLbl="node1" presStyleIdx="3" presStyleCnt="5">
        <dgm:presLayoutVars>
          <dgm:bulletEnabled val="1"/>
        </dgm:presLayoutVars>
      </dgm:prSet>
      <dgm:spPr/>
    </dgm:pt>
    <dgm:pt modelId="{163BB753-788C-40A4-8F89-4DD80EDDE9FC}" type="pres">
      <dgm:prSet presAssocID="{50A6E3EF-9F78-43E9-94F4-697622E7AF4A}" presName="dummy" presStyleCnt="0"/>
      <dgm:spPr/>
    </dgm:pt>
    <dgm:pt modelId="{BF676C9C-0850-4266-B513-35EEAEBCDE6D}" type="pres">
      <dgm:prSet presAssocID="{36265FC7-883B-485B-B356-B0579A2EBFBA}" presName="sibTrans" presStyleLbl="sibTrans2D1" presStyleIdx="3" presStyleCnt="5"/>
      <dgm:spPr/>
    </dgm:pt>
    <dgm:pt modelId="{D5714D9E-094D-4B43-9EAA-7C877CD868F5}" type="pres">
      <dgm:prSet presAssocID="{E7105A95-48D1-497A-9437-025DB2FC47C9}" presName="node" presStyleLbl="node1" presStyleIdx="4" presStyleCnt="5">
        <dgm:presLayoutVars>
          <dgm:bulletEnabled val="1"/>
        </dgm:presLayoutVars>
      </dgm:prSet>
      <dgm:spPr/>
    </dgm:pt>
    <dgm:pt modelId="{817DAF1D-78C7-4658-A317-6A71219C1B9A}" type="pres">
      <dgm:prSet presAssocID="{E7105A95-48D1-497A-9437-025DB2FC47C9}" presName="dummy" presStyleCnt="0"/>
      <dgm:spPr/>
    </dgm:pt>
    <dgm:pt modelId="{87D75C9F-4156-43C3-8E3C-0FB169229110}" type="pres">
      <dgm:prSet presAssocID="{B9BB27AA-3B59-4685-8111-0370DB156C6C}" presName="sibTrans" presStyleLbl="sibTrans2D1" presStyleIdx="4" presStyleCnt="5"/>
      <dgm:spPr/>
    </dgm:pt>
  </dgm:ptLst>
  <dgm:cxnLst>
    <dgm:cxn modelId="{87903B04-F1B5-42A7-9AB5-7EE8E4F47A7D}" type="presOf" srcId="{14984645-A0CA-4E57-9BED-068A6BF0BA76}" destId="{9BE7ACC8-0C96-4F30-8E5D-B6ABB139DE9E}" srcOrd="0" destOrd="0" presId="urn:microsoft.com/office/officeart/2005/8/layout/radial6"/>
    <dgm:cxn modelId="{72F79513-C440-4C60-B9C8-D33E6F5DFA40}" srcId="{14984645-A0CA-4E57-9BED-068A6BF0BA76}" destId="{BC3A7118-0115-454F-ABE5-C0EBDB0B0BE8}" srcOrd="2" destOrd="0" parTransId="{0EB761D5-4751-4DCB-885B-7B2C43D971E0}" sibTransId="{2DC04E6E-91A1-4BF0-B8BD-10BA93E29602}"/>
    <dgm:cxn modelId="{1CFAE431-5298-4905-8DD3-E6750C1947B4}" type="presOf" srcId="{9301B5E5-99A3-438A-A0C4-52046AC04F59}" destId="{281AA52D-EA00-4E02-A83E-2BF7D4027862}" srcOrd="0" destOrd="0" presId="urn:microsoft.com/office/officeart/2005/8/layout/radial6"/>
    <dgm:cxn modelId="{B95FAE33-3FC6-4CCE-8BF3-2E330967C970}" type="presOf" srcId="{CCF39895-EACA-4BBB-9240-9A263C41BF90}" destId="{897CC1A3-247D-4607-99A1-83C87688E6B4}" srcOrd="0" destOrd="0" presId="urn:microsoft.com/office/officeart/2005/8/layout/radial6"/>
    <dgm:cxn modelId="{4F42D95C-C74B-42F6-8E4F-2FBFD0C736B6}" srcId="{14984645-A0CA-4E57-9BED-068A6BF0BA76}" destId="{E09B0DBA-C9C7-4A2F-BDC7-739C2EE2940C}" srcOrd="1" destOrd="0" parTransId="{FB03F367-FF34-4D89-9F2F-4288403FA031}" sibTransId="{CCF39895-EACA-4BBB-9240-9A263C41BF90}"/>
    <dgm:cxn modelId="{7B36086D-640A-4C41-9F1F-1CCD153E5C3F}" srcId="{C67E810A-C433-4AB2-BB85-17F011A6AC25}" destId="{613F1AF5-B3CF-4CD9-9A8A-B309007CA27A}" srcOrd="3" destOrd="0" parTransId="{56329D3F-B535-40E1-A3F9-252CD6939AD0}" sibTransId="{3B403D3F-75EF-4B5A-8E68-12166CD782C3}"/>
    <dgm:cxn modelId="{536EFE6F-5517-498F-82EE-0E5FFD044C64}" srcId="{C67E810A-C433-4AB2-BB85-17F011A6AC25}" destId="{7BD26868-8FAB-4F7E-BE1B-765E7181B35C}" srcOrd="2" destOrd="0" parTransId="{72470EEA-CD5F-4311-9137-26502EB04117}" sibTransId="{037E046F-78E3-4381-BBB4-7B575551DF8D}"/>
    <dgm:cxn modelId="{C6EA8C71-7E09-4DA3-A2E0-1410BA8D0C54}" type="presOf" srcId="{BC3A7118-0115-454F-ABE5-C0EBDB0B0BE8}" destId="{3861EF63-791D-460D-BD0E-E324E8CE41E8}" srcOrd="0" destOrd="0" presId="urn:microsoft.com/office/officeart/2005/8/layout/radial6"/>
    <dgm:cxn modelId="{AC8E4473-A647-4F7A-91B8-762724780DA2}" type="presOf" srcId="{50A6E3EF-9F78-43E9-94F4-697622E7AF4A}" destId="{13B7DE8C-3481-41D8-B394-F71686C09EA3}" srcOrd="0" destOrd="0" presId="urn:microsoft.com/office/officeart/2005/8/layout/radial6"/>
    <dgm:cxn modelId="{B62ADD56-E677-44A3-9BAE-D7377F1D6538}" type="presOf" srcId="{E7105A95-48D1-497A-9437-025DB2FC47C9}" destId="{D5714D9E-094D-4B43-9EAA-7C877CD868F5}" srcOrd="0" destOrd="0" presId="urn:microsoft.com/office/officeart/2005/8/layout/radial6"/>
    <dgm:cxn modelId="{DB68B77D-C052-4C7B-97AD-AF177244D1DE}" type="presOf" srcId="{C67E810A-C433-4AB2-BB85-17F011A6AC25}" destId="{05C73D54-52BA-4059-BFAA-A21602DCBB95}" srcOrd="0" destOrd="0" presId="urn:microsoft.com/office/officeart/2005/8/layout/radial6"/>
    <dgm:cxn modelId="{FEC97B87-FC66-42E5-8353-977F7A96343F}" type="presOf" srcId="{2DC04E6E-91A1-4BF0-B8BD-10BA93E29602}" destId="{7B8F100F-0615-4D1F-A462-AC2566AFBFFA}" srcOrd="0" destOrd="0" presId="urn:microsoft.com/office/officeart/2005/8/layout/radial6"/>
    <dgm:cxn modelId="{3A98D9A1-E6C3-4DFB-82B7-30E11F058247}" type="presOf" srcId="{E09B0DBA-C9C7-4A2F-BDC7-739C2EE2940C}" destId="{6FB9D019-E9D3-4FC1-ACCF-BED77ED716AC}" srcOrd="0" destOrd="0" presId="urn:microsoft.com/office/officeart/2005/8/layout/radial6"/>
    <dgm:cxn modelId="{9B3739A5-ECF9-4593-BB34-F8AA87C189B8}" srcId="{C67E810A-C433-4AB2-BB85-17F011A6AC25}" destId="{14984645-A0CA-4E57-9BED-068A6BF0BA76}" srcOrd="0" destOrd="0" parTransId="{BF34A99A-E648-4074-B3EC-0EDF7EA98737}" sibTransId="{A1CF46D8-76AE-49FC-9FF9-D54E12811BD5}"/>
    <dgm:cxn modelId="{27BF5EA9-6A0A-4F70-89B0-AA9CEAC5F8A4}" type="presOf" srcId="{36265FC7-883B-485B-B356-B0579A2EBFBA}" destId="{BF676C9C-0850-4266-B513-35EEAEBCDE6D}" srcOrd="0" destOrd="0" presId="urn:microsoft.com/office/officeart/2005/8/layout/radial6"/>
    <dgm:cxn modelId="{FC1E7EAA-C146-460B-8ED6-A4C9B75D1EC6}" type="presOf" srcId="{604B2E90-D3F7-4BA9-B2F8-946853D9E558}" destId="{BBB4E0B2-AD8E-48F5-B198-D31B2F146BC6}" srcOrd="0" destOrd="0" presId="urn:microsoft.com/office/officeart/2005/8/layout/radial6"/>
    <dgm:cxn modelId="{C9A868AB-DB26-44E3-8C3B-BF3B7C034460}" srcId="{14984645-A0CA-4E57-9BED-068A6BF0BA76}" destId="{E7105A95-48D1-497A-9437-025DB2FC47C9}" srcOrd="4" destOrd="0" parTransId="{ACB6ED93-4310-4941-98B1-E91ACF7C75C8}" sibTransId="{B9BB27AA-3B59-4685-8111-0370DB156C6C}"/>
    <dgm:cxn modelId="{A396A8CD-BF6C-4336-A461-7CBAFFC9954B}" srcId="{C67E810A-C433-4AB2-BB85-17F011A6AC25}" destId="{913C0810-6CB7-43B0-A612-2B69AE99168A}" srcOrd="1" destOrd="0" parTransId="{51ADFD54-11FE-4A12-9D71-E2BD80BAE2D9}" sibTransId="{B49374C5-6671-49D9-9A3C-B63E93E4A406}"/>
    <dgm:cxn modelId="{19B972D9-F69E-4E0D-B80D-E1533315CED2}" type="presOf" srcId="{B9BB27AA-3B59-4685-8111-0370DB156C6C}" destId="{87D75C9F-4156-43C3-8E3C-0FB169229110}" srcOrd="0" destOrd="0" presId="urn:microsoft.com/office/officeart/2005/8/layout/radial6"/>
    <dgm:cxn modelId="{06B723DF-1EEC-4E9D-B200-BBFF911C3DF4}" srcId="{14984645-A0CA-4E57-9BED-068A6BF0BA76}" destId="{50A6E3EF-9F78-43E9-94F4-697622E7AF4A}" srcOrd="3" destOrd="0" parTransId="{819E5045-76FF-4131-9650-C4504E10D34F}" sibTransId="{36265FC7-883B-485B-B356-B0579A2EBFBA}"/>
    <dgm:cxn modelId="{BBDCF0EF-C1B7-436E-804C-EF8920170B4E}" srcId="{14984645-A0CA-4E57-9BED-068A6BF0BA76}" destId="{9301B5E5-99A3-438A-A0C4-52046AC04F59}" srcOrd="0" destOrd="0" parTransId="{5CA98EA2-6AED-4407-994A-0903D8DB192D}" sibTransId="{604B2E90-D3F7-4BA9-B2F8-946853D9E558}"/>
    <dgm:cxn modelId="{208B24AC-0EDC-4982-9564-FF4084DA70D5}" type="presParOf" srcId="{05C73D54-52BA-4059-BFAA-A21602DCBB95}" destId="{9BE7ACC8-0C96-4F30-8E5D-B6ABB139DE9E}" srcOrd="0" destOrd="0" presId="urn:microsoft.com/office/officeart/2005/8/layout/radial6"/>
    <dgm:cxn modelId="{19BB8BE4-180E-45A6-B890-FC28E45B0D09}" type="presParOf" srcId="{05C73D54-52BA-4059-BFAA-A21602DCBB95}" destId="{281AA52D-EA00-4E02-A83E-2BF7D4027862}" srcOrd="1" destOrd="0" presId="urn:microsoft.com/office/officeart/2005/8/layout/radial6"/>
    <dgm:cxn modelId="{B357E71F-BC95-4582-9B81-21C5BC0A400C}" type="presParOf" srcId="{05C73D54-52BA-4059-BFAA-A21602DCBB95}" destId="{79BB458F-2B5E-46D1-B349-883785606E72}" srcOrd="2" destOrd="0" presId="urn:microsoft.com/office/officeart/2005/8/layout/radial6"/>
    <dgm:cxn modelId="{50F99E25-3718-4A10-91CC-7E797E0C5326}" type="presParOf" srcId="{05C73D54-52BA-4059-BFAA-A21602DCBB95}" destId="{BBB4E0B2-AD8E-48F5-B198-D31B2F146BC6}" srcOrd="3" destOrd="0" presId="urn:microsoft.com/office/officeart/2005/8/layout/radial6"/>
    <dgm:cxn modelId="{8CBACD8A-02E1-4716-9D85-0FBD1BC99E9A}" type="presParOf" srcId="{05C73D54-52BA-4059-BFAA-A21602DCBB95}" destId="{6FB9D019-E9D3-4FC1-ACCF-BED77ED716AC}" srcOrd="4" destOrd="0" presId="urn:microsoft.com/office/officeart/2005/8/layout/radial6"/>
    <dgm:cxn modelId="{B5635793-8DAC-4C25-B50C-A4D7909CD715}" type="presParOf" srcId="{05C73D54-52BA-4059-BFAA-A21602DCBB95}" destId="{FF439BB6-56B2-45F7-8BD7-A447F0C99EF8}" srcOrd="5" destOrd="0" presId="urn:microsoft.com/office/officeart/2005/8/layout/radial6"/>
    <dgm:cxn modelId="{2FFBDCE7-7A43-403C-AFE5-CF9DC812A33A}" type="presParOf" srcId="{05C73D54-52BA-4059-BFAA-A21602DCBB95}" destId="{897CC1A3-247D-4607-99A1-83C87688E6B4}" srcOrd="6" destOrd="0" presId="urn:microsoft.com/office/officeart/2005/8/layout/radial6"/>
    <dgm:cxn modelId="{53D077A6-CB88-45BB-BC2D-B16262E6141A}" type="presParOf" srcId="{05C73D54-52BA-4059-BFAA-A21602DCBB95}" destId="{3861EF63-791D-460D-BD0E-E324E8CE41E8}" srcOrd="7" destOrd="0" presId="urn:microsoft.com/office/officeart/2005/8/layout/radial6"/>
    <dgm:cxn modelId="{7A29F291-97E4-4F90-BFA2-9CFAFBB79896}" type="presParOf" srcId="{05C73D54-52BA-4059-BFAA-A21602DCBB95}" destId="{38E45E91-37F6-453C-A731-1C44CFD29592}" srcOrd="8" destOrd="0" presId="urn:microsoft.com/office/officeart/2005/8/layout/radial6"/>
    <dgm:cxn modelId="{058D10EF-DB6D-428E-9A72-C7240BFA90ED}" type="presParOf" srcId="{05C73D54-52BA-4059-BFAA-A21602DCBB95}" destId="{7B8F100F-0615-4D1F-A462-AC2566AFBFFA}" srcOrd="9" destOrd="0" presId="urn:microsoft.com/office/officeart/2005/8/layout/radial6"/>
    <dgm:cxn modelId="{1C65FDCC-F50E-42A1-8E3E-14232F171FBA}" type="presParOf" srcId="{05C73D54-52BA-4059-BFAA-A21602DCBB95}" destId="{13B7DE8C-3481-41D8-B394-F71686C09EA3}" srcOrd="10" destOrd="0" presId="urn:microsoft.com/office/officeart/2005/8/layout/radial6"/>
    <dgm:cxn modelId="{1065CD83-B074-4EE9-9923-C29F90B7F6C0}" type="presParOf" srcId="{05C73D54-52BA-4059-BFAA-A21602DCBB95}" destId="{163BB753-788C-40A4-8F89-4DD80EDDE9FC}" srcOrd="11" destOrd="0" presId="urn:microsoft.com/office/officeart/2005/8/layout/radial6"/>
    <dgm:cxn modelId="{74CD5676-1DC0-4F68-8FE4-B2FB7C5950E8}" type="presParOf" srcId="{05C73D54-52BA-4059-BFAA-A21602DCBB95}" destId="{BF676C9C-0850-4266-B513-35EEAEBCDE6D}" srcOrd="12" destOrd="0" presId="urn:microsoft.com/office/officeart/2005/8/layout/radial6"/>
    <dgm:cxn modelId="{CFCE645C-8291-4878-986D-A215960C6587}" type="presParOf" srcId="{05C73D54-52BA-4059-BFAA-A21602DCBB95}" destId="{D5714D9E-094D-4B43-9EAA-7C877CD868F5}" srcOrd="13" destOrd="0" presId="urn:microsoft.com/office/officeart/2005/8/layout/radial6"/>
    <dgm:cxn modelId="{F984C636-3B88-45E0-8B15-43CA5FC28E03}" type="presParOf" srcId="{05C73D54-52BA-4059-BFAA-A21602DCBB95}" destId="{817DAF1D-78C7-4658-A317-6A71219C1B9A}" srcOrd="14" destOrd="0" presId="urn:microsoft.com/office/officeart/2005/8/layout/radial6"/>
    <dgm:cxn modelId="{ABFCF37A-767C-44D1-92C2-5ECDE27C3940}" type="presParOf" srcId="{05C73D54-52BA-4059-BFAA-A21602DCBB95}" destId="{87D75C9F-4156-43C3-8E3C-0FB169229110}" srcOrd="15" destOrd="0" presId="urn:microsoft.com/office/officeart/2005/8/layout/radial6"/>
  </dgm:cxnLst>
  <dgm:bg/>
  <dgm:whole>
    <a:ln>
      <a:solidFill>
        <a:schemeClr val="bg2">
          <a:lumMod val="90000"/>
        </a:schemeClr>
      </a:solidFill>
    </a:ln>
  </dgm:whole>
  <dgm:extLst>
    <a:ext uri="http://schemas.microsoft.com/office/drawing/2008/diagram">
      <dsp:dataModelExt xmlns:dsp="http://schemas.microsoft.com/office/drawing/2008/diagram" relId="rId8" minVer="http://schemas.openxmlformats.org/drawingml/2006/diagram"/>
    </a:ext>
  </dgm:extLst>
</dgm:dataModel>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D75C9F-4156-43C3-8E3C-0FB169229110}">
      <dsp:nvSpPr>
        <dsp:cNvPr id="0" name=""/>
        <dsp:cNvSpPr/>
      </dsp:nvSpPr>
      <dsp:spPr>
        <a:xfrm>
          <a:off x="1027113" y="589519"/>
          <a:ext cx="3927472" cy="3927472"/>
        </a:xfrm>
        <a:prstGeom prst="blockArc">
          <a:avLst>
            <a:gd name="adj1" fmla="val 11880000"/>
            <a:gd name="adj2" fmla="val 16200000"/>
            <a:gd name="adj3" fmla="val 464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BF676C9C-0850-4266-B513-35EEAEBCDE6D}">
      <dsp:nvSpPr>
        <dsp:cNvPr id="0" name=""/>
        <dsp:cNvSpPr/>
      </dsp:nvSpPr>
      <dsp:spPr>
        <a:xfrm>
          <a:off x="1027113" y="589519"/>
          <a:ext cx="3927472" cy="3927472"/>
        </a:xfrm>
        <a:prstGeom prst="blockArc">
          <a:avLst>
            <a:gd name="adj1" fmla="val 7560000"/>
            <a:gd name="adj2" fmla="val 11880000"/>
            <a:gd name="adj3" fmla="val 464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7B8F100F-0615-4D1F-A462-AC2566AFBFFA}">
      <dsp:nvSpPr>
        <dsp:cNvPr id="0" name=""/>
        <dsp:cNvSpPr/>
      </dsp:nvSpPr>
      <dsp:spPr>
        <a:xfrm>
          <a:off x="1027113" y="589519"/>
          <a:ext cx="3927472" cy="3927472"/>
        </a:xfrm>
        <a:prstGeom prst="blockArc">
          <a:avLst>
            <a:gd name="adj1" fmla="val 3240000"/>
            <a:gd name="adj2" fmla="val 7560000"/>
            <a:gd name="adj3" fmla="val 464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897CC1A3-247D-4607-99A1-83C87688E6B4}">
      <dsp:nvSpPr>
        <dsp:cNvPr id="0" name=""/>
        <dsp:cNvSpPr/>
      </dsp:nvSpPr>
      <dsp:spPr>
        <a:xfrm>
          <a:off x="1027113" y="589519"/>
          <a:ext cx="3927472" cy="3927472"/>
        </a:xfrm>
        <a:prstGeom prst="blockArc">
          <a:avLst>
            <a:gd name="adj1" fmla="val 20520000"/>
            <a:gd name="adj2" fmla="val 3240000"/>
            <a:gd name="adj3" fmla="val 464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BBB4E0B2-AD8E-48F5-B198-D31B2F146BC6}">
      <dsp:nvSpPr>
        <dsp:cNvPr id="0" name=""/>
        <dsp:cNvSpPr/>
      </dsp:nvSpPr>
      <dsp:spPr>
        <a:xfrm>
          <a:off x="1027113" y="589519"/>
          <a:ext cx="3927472" cy="3927472"/>
        </a:xfrm>
        <a:prstGeom prst="blockArc">
          <a:avLst>
            <a:gd name="adj1" fmla="val 16200000"/>
            <a:gd name="adj2" fmla="val 20520000"/>
            <a:gd name="adj3" fmla="val 464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9BE7ACC8-0C96-4F30-8E5D-B6ABB139DE9E}">
      <dsp:nvSpPr>
        <dsp:cNvPr id="0" name=""/>
        <dsp:cNvSpPr/>
      </dsp:nvSpPr>
      <dsp:spPr>
        <a:xfrm>
          <a:off x="2086877" y="1649283"/>
          <a:ext cx="1807945" cy="1807945"/>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marL="0" lvl="0" indent="0" algn="ctr" defTabSz="377825">
            <a:lnSpc>
              <a:spcPct val="90000"/>
            </a:lnSpc>
            <a:spcBef>
              <a:spcPct val="0"/>
            </a:spcBef>
            <a:spcAft>
              <a:spcPct val="35000"/>
            </a:spcAft>
            <a:buNone/>
          </a:pPr>
          <a:r>
            <a:rPr lang="en-US" sz="850" kern="1200" dirty="0"/>
            <a:t>Digital facilitators (totem display &amp; mobile app) for Urban Mobility Measures</a:t>
          </a:r>
        </a:p>
      </dsp:txBody>
      <dsp:txXfrm>
        <a:off x="2351644" y="1914050"/>
        <a:ext cx="1278411" cy="1278411"/>
      </dsp:txXfrm>
    </dsp:sp>
    <dsp:sp modelId="{281AA52D-EA00-4E02-A83E-2BF7D4027862}">
      <dsp:nvSpPr>
        <dsp:cNvPr id="0" name=""/>
        <dsp:cNvSpPr/>
      </dsp:nvSpPr>
      <dsp:spPr>
        <a:xfrm>
          <a:off x="2358069" y="2298"/>
          <a:ext cx="1265561" cy="126556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marL="0" lvl="0" indent="0" algn="ctr" defTabSz="377825">
            <a:lnSpc>
              <a:spcPct val="90000"/>
            </a:lnSpc>
            <a:spcBef>
              <a:spcPct val="0"/>
            </a:spcBef>
            <a:spcAft>
              <a:spcPct val="35000"/>
            </a:spcAft>
            <a:buNone/>
          </a:pPr>
          <a:r>
            <a:rPr lang="en-US" sz="850" kern="1200" dirty="0"/>
            <a:t>Step 1: Information (Air Quality – Mobility assets)</a:t>
          </a:r>
        </a:p>
      </dsp:txBody>
      <dsp:txXfrm>
        <a:off x="2543406" y="187635"/>
        <a:ext cx="894887" cy="894887"/>
      </dsp:txXfrm>
    </dsp:sp>
    <dsp:sp modelId="{6FB9D019-E9D3-4FC1-ACCF-BED77ED716AC}">
      <dsp:nvSpPr>
        <dsp:cNvPr id="0" name=""/>
        <dsp:cNvSpPr/>
      </dsp:nvSpPr>
      <dsp:spPr>
        <a:xfrm>
          <a:off x="4182362" y="1327725"/>
          <a:ext cx="1265561" cy="126556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marL="0" lvl="0" indent="0" algn="ctr" defTabSz="377825">
            <a:lnSpc>
              <a:spcPct val="90000"/>
            </a:lnSpc>
            <a:spcBef>
              <a:spcPct val="0"/>
            </a:spcBef>
            <a:spcAft>
              <a:spcPct val="35000"/>
            </a:spcAft>
            <a:buNone/>
          </a:pPr>
          <a:r>
            <a:rPr lang="en-US" sz="850" kern="1200" dirty="0"/>
            <a:t>Step 2: Nudging the user to shift </a:t>
          </a:r>
          <a:r>
            <a:rPr lang="en-US" sz="850" kern="1200" dirty="0" err="1"/>
            <a:t>behaviou</a:t>
          </a:r>
          <a:r>
            <a:rPr lang="en-US" sz="850" kern="1200" dirty="0"/>
            <a:t> (AI user </a:t>
          </a:r>
          <a:r>
            <a:rPr lang="en-US" sz="850" kern="1200" dirty="0" err="1"/>
            <a:t>behaviour</a:t>
          </a:r>
          <a:r>
            <a:rPr lang="en-US" sz="850" kern="1200" dirty="0"/>
            <a:t> understanding module)</a:t>
          </a:r>
        </a:p>
      </dsp:txBody>
      <dsp:txXfrm>
        <a:off x="4367699" y="1513062"/>
        <a:ext cx="894887" cy="894887"/>
      </dsp:txXfrm>
    </dsp:sp>
    <dsp:sp modelId="{3861EF63-791D-460D-BD0E-E324E8CE41E8}">
      <dsp:nvSpPr>
        <dsp:cNvPr id="0" name=""/>
        <dsp:cNvSpPr/>
      </dsp:nvSpPr>
      <dsp:spPr>
        <a:xfrm>
          <a:off x="3485544" y="3472311"/>
          <a:ext cx="1265561" cy="126556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marL="0" lvl="0" indent="0" algn="ctr" defTabSz="377825">
            <a:lnSpc>
              <a:spcPct val="90000"/>
            </a:lnSpc>
            <a:spcBef>
              <a:spcPct val="0"/>
            </a:spcBef>
            <a:spcAft>
              <a:spcPct val="35000"/>
            </a:spcAft>
            <a:buNone/>
          </a:pPr>
          <a:r>
            <a:rPr lang="en-US" sz="850" kern="1200" dirty="0"/>
            <a:t>Step 3: Educate the user to develop eco-conscious </a:t>
          </a:r>
          <a:r>
            <a:rPr lang="en-US" sz="850" kern="1200" dirty="0" err="1"/>
            <a:t>behaviour</a:t>
          </a:r>
          <a:r>
            <a:rPr lang="en-US" sz="850" kern="1200" dirty="0"/>
            <a:t> (clearly explain external costs of modal/route choice – eco-routing</a:t>
          </a:r>
        </a:p>
      </dsp:txBody>
      <dsp:txXfrm>
        <a:off x="3670881" y="3657648"/>
        <a:ext cx="894887" cy="894887"/>
      </dsp:txXfrm>
    </dsp:sp>
    <dsp:sp modelId="{13B7DE8C-3481-41D8-B394-F71686C09EA3}">
      <dsp:nvSpPr>
        <dsp:cNvPr id="0" name=""/>
        <dsp:cNvSpPr/>
      </dsp:nvSpPr>
      <dsp:spPr>
        <a:xfrm>
          <a:off x="1230593" y="3472311"/>
          <a:ext cx="1265561" cy="126556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marL="0" lvl="0" indent="0" algn="ctr" defTabSz="377825">
            <a:lnSpc>
              <a:spcPct val="90000"/>
            </a:lnSpc>
            <a:spcBef>
              <a:spcPct val="0"/>
            </a:spcBef>
            <a:spcAft>
              <a:spcPct val="35000"/>
            </a:spcAft>
            <a:buNone/>
          </a:pPr>
          <a:r>
            <a:rPr lang="en-US" sz="850" kern="1200" dirty="0"/>
            <a:t>Step 4: Engage the citizens to maintain eco-conscious </a:t>
          </a:r>
          <a:r>
            <a:rPr lang="en-US" sz="850" kern="1200" dirty="0" err="1"/>
            <a:t>behaviour</a:t>
          </a:r>
          <a:r>
            <a:rPr lang="en-US" sz="850" kern="1200" dirty="0"/>
            <a:t> (gamification, incentives)</a:t>
          </a:r>
        </a:p>
      </dsp:txBody>
      <dsp:txXfrm>
        <a:off x="1415930" y="3657648"/>
        <a:ext cx="894887" cy="894887"/>
      </dsp:txXfrm>
    </dsp:sp>
    <dsp:sp modelId="{D5714D9E-094D-4B43-9EAA-7C877CD868F5}">
      <dsp:nvSpPr>
        <dsp:cNvPr id="0" name=""/>
        <dsp:cNvSpPr/>
      </dsp:nvSpPr>
      <dsp:spPr>
        <a:xfrm>
          <a:off x="533775" y="1327725"/>
          <a:ext cx="1265561" cy="126556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marL="0" lvl="0" indent="0" algn="ctr" defTabSz="377825">
            <a:lnSpc>
              <a:spcPct val="90000"/>
            </a:lnSpc>
            <a:spcBef>
              <a:spcPct val="0"/>
            </a:spcBef>
            <a:spcAft>
              <a:spcPct val="35000"/>
            </a:spcAft>
            <a:buNone/>
          </a:pPr>
          <a:r>
            <a:rPr lang="en-US" sz="850" kern="1200" dirty="0"/>
            <a:t>Step 5: Hypothetical scenarios to comprehend conditions under which user </a:t>
          </a:r>
          <a:r>
            <a:rPr lang="en-US" sz="850" kern="1200" dirty="0" err="1"/>
            <a:t>behaviour</a:t>
          </a:r>
          <a:r>
            <a:rPr lang="en-US" sz="850" kern="1200" dirty="0"/>
            <a:t> changes (‘What if” gamification) </a:t>
          </a:r>
        </a:p>
      </dsp:txBody>
      <dsp:txXfrm>
        <a:off x="719112" y="1513062"/>
        <a:ext cx="894887" cy="894887"/>
      </dsp:txXfrm>
    </dsp:sp>
  </dsp:spTree>
</dsp:drawing>
</file>

<file path=word/diagrams/layout3.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9A828-EA4F-4692-8C03-C98F964B8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Application>LibreOffice/26.2.6.3$Windows_X86_64 LibreOffice_project/8221e31b3ac356a1623c672912a3d2b492f7e3d1</Application>
  <AppVersion>15.0000</AppVersion>
  <Pages>15</Pages>
  <Words>9109</Words>
  <Characters>53002</Characters>
  <CharactersWithSpaces>62179</CharactersWithSpaces>
  <Paragraphs>912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2026-03-09T07:43:00Z</dcterms:created>
  <dc:creator>Sophia Alvanou</dc:creator>
  <dc:description/>
  <dc:language>el-GR</dc:language>
  <cp:lastModifiedBy>Sophia Alvanou</cp:lastModifiedBy>
  <dcterms:modified xsi:type="dcterms:W3CDTF">2026-07-15T07:20:00Z</dcterms:modified>
  <cp:revision>144</cp:revision>
  <dc:subject/>
  <dc:title/>
</cp:coreProperties>
</file>

<file path=docProps/custom.xml><?xml version="1.0" encoding="utf-8"?>
<Properties xmlns="http://schemas.openxmlformats.org/officeDocument/2006/custom-properties" xmlns:vt="http://schemas.openxmlformats.org/officeDocument/2006/docPropsVTypes"/>
</file>